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3B0" w:rsidRPr="00FE14B1" w:rsidRDefault="00FF03B0" w:rsidP="00FF03B0">
      <w:pPr>
        <w:spacing w:after="0" w:line="240" w:lineRule="auto"/>
        <w:jc w:val="right"/>
        <w:rPr>
          <w:rFonts w:ascii="Arial" w:hAnsi="Arial"/>
          <w:noProof/>
        </w:rPr>
      </w:pPr>
      <w:bookmarkStart w:id="0" w:name="_GoBack"/>
      <w:bookmarkEnd w:id="0"/>
    </w:p>
    <w:p w:rsidR="00FF03B0" w:rsidRPr="00FE14B1" w:rsidRDefault="00FF03B0" w:rsidP="00FF03B0">
      <w:pPr>
        <w:spacing w:after="0" w:line="240" w:lineRule="auto"/>
        <w:jc w:val="right"/>
        <w:rPr>
          <w:rFonts w:ascii="Arial" w:hAnsi="Arial"/>
          <w:noProof/>
        </w:rPr>
      </w:pPr>
    </w:p>
    <w:p w:rsidR="00FF03B0" w:rsidRPr="00FE14B1" w:rsidRDefault="00FF03B0" w:rsidP="00FF03B0">
      <w:pPr>
        <w:spacing w:after="0" w:line="240" w:lineRule="auto"/>
        <w:jc w:val="right"/>
        <w:rPr>
          <w:rFonts w:ascii="Arial" w:hAnsi="Arial"/>
          <w:noProof/>
        </w:rPr>
      </w:pPr>
    </w:p>
    <w:p w:rsidR="00FF03B0" w:rsidRPr="00FE14B1" w:rsidRDefault="00FF03B0" w:rsidP="00FF03B0">
      <w:pPr>
        <w:spacing w:after="0" w:line="240" w:lineRule="auto"/>
        <w:jc w:val="right"/>
        <w:rPr>
          <w:rFonts w:ascii="Arial" w:hAnsi="Arial"/>
          <w:noProof/>
        </w:rPr>
      </w:pPr>
    </w:p>
    <w:p w:rsidR="00FF03B0" w:rsidRPr="00FE14B1" w:rsidRDefault="00FF03B0" w:rsidP="00FF03B0">
      <w:pPr>
        <w:spacing w:after="0" w:line="240" w:lineRule="auto"/>
        <w:jc w:val="right"/>
        <w:rPr>
          <w:rFonts w:ascii="Arial" w:hAnsi="Arial"/>
          <w:noProof/>
        </w:rPr>
      </w:pPr>
    </w:p>
    <w:p w:rsidR="00FF03B0" w:rsidRPr="00FE14B1" w:rsidRDefault="00FF03B0" w:rsidP="00FF03B0">
      <w:pPr>
        <w:spacing w:after="0" w:line="240" w:lineRule="auto"/>
        <w:jc w:val="right"/>
        <w:rPr>
          <w:color w:val="333300"/>
        </w:rPr>
      </w:pPr>
      <w:r w:rsidRPr="00FE14B1">
        <w:rPr>
          <w:rFonts w:ascii="Arial" w:hAnsi="Arial"/>
          <w:noProof/>
          <w:lang w:eastAsia="en-AU"/>
        </w:rPr>
        <w:drawing>
          <wp:inline distT="0" distB="0" distL="0" distR="0" wp14:anchorId="3F2386AD" wp14:editId="50F2683F">
            <wp:extent cx="2190750" cy="937895"/>
            <wp:effectExtent l="0" t="0" r="0" b="0"/>
            <wp:docPr id="1" name="Picture 1" descr="IGIS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IS Sp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937895"/>
                    </a:xfrm>
                    <a:prstGeom prst="rect">
                      <a:avLst/>
                    </a:prstGeom>
                    <a:noFill/>
                    <a:ln>
                      <a:noFill/>
                    </a:ln>
                  </pic:spPr>
                </pic:pic>
              </a:graphicData>
            </a:graphic>
          </wp:inline>
        </w:drawing>
      </w:r>
    </w:p>
    <w:p w:rsidR="00FF03B0" w:rsidRPr="00FE14B1" w:rsidRDefault="00FF03B0" w:rsidP="00FF03B0">
      <w:pPr>
        <w:spacing w:after="0" w:line="240" w:lineRule="auto"/>
        <w:rPr>
          <w:color w:val="333300"/>
        </w:rPr>
      </w:pPr>
    </w:p>
    <w:p w:rsidR="00FF03B0" w:rsidRPr="00FE14B1" w:rsidRDefault="00FF03B0" w:rsidP="00FF03B0">
      <w:pPr>
        <w:spacing w:after="0" w:line="240" w:lineRule="auto"/>
        <w:rPr>
          <w:color w:val="333300"/>
        </w:rPr>
      </w:pPr>
    </w:p>
    <w:p w:rsidR="00FF03B0" w:rsidRPr="00FE14B1" w:rsidRDefault="00FF03B0" w:rsidP="00FF03B0">
      <w:pPr>
        <w:tabs>
          <w:tab w:val="left" w:pos="7260"/>
        </w:tabs>
        <w:spacing w:after="0" w:line="240" w:lineRule="auto"/>
        <w:rPr>
          <w:color w:val="333300"/>
        </w:rPr>
      </w:pPr>
      <w:r w:rsidRPr="00FE14B1">
        <w:rPr>
          <w:color w:val="333300"/>
        </w:rPr>
        <w:tab/>
      </w:r>
    </w:p>
    <w:p w:rsidR="00FF03B0" w:rsidRPr="00FE14B1" w:rsidRDefault="00FF03B0" w:rsidP="00FF03B0">
      <w:pPr>
        <w:pBdr>
          <w:bottom w:val="single" w:sz="12" w:space="1" w:color="auto"/>
        </w:pBdr>
        <w:spacing w:after="0" w:line="240" w:lineRule="auto"/>
        <w:rPr>
          <w:color w:val="333300"/>
        </w:rPr>
      </w:pPr>
    </w:p>
    <w:p w:rsidR="00FF03B0" w:rsidRPr="00FE14B1" w:rsidRDefault="00FF03B0" w:rsidP="00FF03B0">
      <w:pPr>
        <w:pBdr>
          <w:bottom w:val="single" w:sz="12" w:space="1" w:color="auto"/>
        </w:pBdr>
        <w:spacing w:after="0" w:line="240" w:lineRule="auto"/>
        <w:rPr>
          <w:color w:val="333300"/>
        </w:rPr>
      </w:pPr>
    </w:p>
    <w:p w:rsidR="00FF03B0" w:rsidRPr="00FE14B1" w:rsidRDefault="00FF03B0" w:rsidP="00FF03B0">
      <w:pPr>
        <w:pBdr>
          <w:bottom w:val="single" w:sz="12" w:space="1" w:color="auto"/>
        </w:pBdr>
        <w:spacing w:after="0" w:line="240" w:lineRule="auto"/>
        <w:rPr>
          <w:color w:val="333300"/>
        </w:rPr>
      </w:pPr>
    </w:p>
    <w:p w:rsidR="00FF03B0" w:rsidRPr="00FE14B1" w:rsidRDefault="00FF03B0" w:rsidP="00FF03B0">
      <w:pPr>
        <w:spacing w:after="0" w:line="240" w:lineRule="auto"/>
        <w:jc w:val="right"/>
        <w:rPr>
          <w:b/>
          <w:color w:val="333300"/>
          <w:sz w:val="40"/>
          <w:szCs w:val="40"/>
        </w:rPr>
      </w:pPr>
    </w:p>
    <w:p w:rsidR="00620F66" w:rsidRPr="00FE14B1" w:rsidRDefault="00FF03B0" w:rsidP="00620F66">
      <w:pPr>
        <w:pBdr>
          <w:bottom w:val="single" w:sz="12" w:space="1" w:color="auto"/>
        </w:pBdr>
        <w:spacing w:after="0" w:line="240" w:lineRule="auto"/>
        <w:jc w:val="right"/>
        <w:rPr>
          <w:b/>
          <w:color w:val="333300"/>
          <w:sz w:val="38"/>
          <w:szCs w:val="38"/>
        </w:rPr>
      </w:pPr>
      <w:r w:rsidRPr="00FE14B1">
        <w:rPr>
          <w:b/>
          <w:color w:val="333300"/>
          <w:sz w:val="38"/>
          <w:szCs w:val="38"/>
          <w:lang w:val="en"/>
        </w:rPr>
        <w:t xml:space="preserve">Review of </w:t>
      </w:r>
      <w:r w:rsidR="00620F66">
        <w:rPr>
          <w:b/>
          <w:color w:val="333300"/>
          <w:sz w:val="38"/>
          <w:szCs w:val="38"/>
          <w:lang w:val="en"/>
        </w:rPr>
        <w:t xml:space="preserve">the </w:t>
      </w:r>
      <w:r w:rsidR="00620F66" w:rsidRPr="00620F66">
        <w:rPr>
          <w:b/>
          <w:i/>
          <w:color w:val="333300"/>
          <w:sz w:val="38"/>
          <w:szCs w:val="38"/>
          <w:lang w:val="en"/>
        </w:rPr>
        <w:t>Public Interest Disclosure Act 2013</w:t>
      </w:r>
    </w:p>
    <w:p w:rsidR="00FF03B0" w:rsidRPr="00FE14B1" w:rsidRDefault="00FF03B0" w:rsidP="00FF03B0">
      <w:pPr>
        <w:pBdr>
          <w:bottom w:val="single" w:sz="12" w:space="1" w:color="auto"/>
        </w:pBdr>
        <w:spacing w:after="0" w:line="240" w:lineRule="auto"/>
        <w:jc w:val="right"/>
        <w:rPr>
          <w:b/>
          <w:color w:val="333300"/>
          <w:sz w:val="38"/>
          <w:szCs w:val="38"/>
        </w:rPr>
      </w:pPr>
    </w:p>
    <w:p w:rsidR="00FF03B0" w:rsidRPr="00FE14B1" w:rsidRDefault="00FF03B0" w:rsidP="00FF03B0">
      <w:pPr>
        <w:pBdr>
          <w:bottom w:val="single" w:sz="12" w:space="1" w:color="auto"/>
        </w:pBdr>
        <w:spacing w:after="0" w:line="240" w:lineRule="auto"/>
        <w:jc w:val="right"/>
        <w:rPr>
          <w:b/>
          <w:color w:val="333300"/>
          <w:sz w:val="40"/>
          <w:szCs w:val="40"/>
        </w:rPr>
      </w:pPr>
    </w:p>
    <w:p w:rsidR="00FF03B0" w:rsidRPr="00FE14B1" w:rsidRDefault="00FF03B0" w:rsidP="00FF03B0">
      <w:pPr>
        <w:spacing w:after="0" w:line="240" w:lineRule="auto"/>
        <w:jc w:val="right"/>
        <w:rPr>
          <w:b/>
          <w:color w:val="333300"/>
          <w:sz w:val="40"/>
          <w:szCs w:val="40"/>
        </w:rPr>
      </w:pPr>
    </w:p>
    <w:p w:rsidR="00FF03B0" w:rsidRPr="00FE14B1" w:rsidRDefault="00FF03B0" w:rsidP="00FF03B0">
      <w:pPr>
        <w:spacing w:after="0" w:line="240" w:lineRule="auto"/>
        <w:jc w:val="right"/>
        <w:rPr>
          <w:b/>
          <w:color w:val="333300"/>
          <w:sz w:val="40"/>
          <w:szCs w:val="40"/>
        </w:rPr>
      </w:pPr>
    </w:p>
    <w:p w:rsidR="00FF03B0" w:rsidRPr="00FE14B1" w:rsidRDefault="00FF03B0" w:rsidP="00FF03B0">
      <w:pPr>
        <w:spacing w:after="0" w:line="240" w:lineRule="auto"/>
        <w:jc w:val="right"/>
        <w:rPr>
          <w:b/>
          <w:color w:val="333300"/>
          <w:sz w:val="40"/>
          <w:szCs w:val="40"/>
        </w:rPr>
      </w:pPr>
    </w:p>
    <w:p w:rsidR="00FF03B0" w:rsidRPr="00FE14B1" w:rsidRDefault="00620F66" w:rsidP="00FF03B0">
      <w:pPr>
        <w:spacing w:after="0" w:line="240" w:lineRule="auto"/>
        <w:ind w:left="-142"/>
        <w:jc w:val="right"/>
        <w:rPr>
          <w:b/>
          <w:color w:val="333300"/>
          <w:sz w:val="30"/>
          <w:szCs w:val="30"/>
        </w:rPr>
      </w:pPr>
      <w:r>
        <w:rPr>
          <w:b/>
          <w:color w:val="333300"/>
          <w:sz w:val="30"/>
          <w:szCs w:val="30"/>
        </w:rPr>
        <w:t>Submission to the Moss Review of the PID Act</w:t>
      </w:r>
    </w:p>
    <w:p w:rsidR="00FF03B0" w:rsidRPr="00FE14B1" w:rsidRDefault="00FF03B0" w:rsidP="00FF03B0">
      <w:pPr>
        <w:spacing w:after="0" w:line="240" w:lineRule="auto"/>
        <w:jc w:val="right"/>
        <w:rPr>
          <w:color w:val="333300"/>
          <w:sz w:val="28"/>
          <w:szCs w:val="28"/>
        </w:rPr>
      </w:pPr>
    </w:p>
    <w:p w:rsidR="00FF03B0" w:rsidRPr="00FE14B1" w:rsidRDefault="00FF03B0" w:rsidP="00FF03B0">
      <w:pPr>
        <w:spacing w:after="0" w:line="240" w:lineRule="auto"/>
        <w:jc w:val="right"/>
        <w:rPr>
          <w:color w:val="333300"/>
          <w:sz w:val="28"/>
          <w:szCs w:val="28"/>
        </w:rPr>
      </w:pPr>
    </w:p>
    <w:p w:rsidR="00FF03B0" w:rsidRPr="00FE14B1" w:rsidRDefault="00FF03B0" w:rsidP="00FF03B0">
      <w:pPr>
        <w:spacing w:after="0" w:line="240" w:lineRule="auto"/>
        <w:jc w:val="right"/>
        <w:rPr>
          <w:color w:val="333300"/>
          <w:sz w:val="28"/>
          <w:szCs w:val="28"/>
        </w:rPr>
      </w:pPr>
      <w:r>
        <w:rPr>
          <w:color w:val="333300"/>
          <w:sz w:val="28"/>
          <w:szCs w:val="28"/>
        </w:rPr>
        <w:t>The Hon Margaret Stone</w:t>
      </w:r>
    </w:p>
    <w:p w:rsidR="00FF03B0" w:rsidRPr="00FE14B1" w:rsidRDefault="00FF03B0" w:rsidP="00FF03B0">
      <w:pPr>
        <w:spacing w:after="0" w:line="240" w:lineRule="auto"/>
        <w:jc w:val="right"/>
        <w:rPr>
          <w:color w:val="333300"/>
          <w:sz w:val="28"/>
          <w:szCs w:val="28"/>
        </w:rPr>
      </w:pPr>
      <w:r w:rsidRPr="00FE14B1">
        <w:rPr>
          <w:color w:val="333300"/>
          <w:sz w:val="28"/>
          <w:szCs w:val="28"/>
        </w:rPr>
        <w:t>Inspector-General of Intelligence and Security</w:t>
      </w:r>
    </w:p>
    <w:p w:rsidR="00FF03B0" w:rsidRPr="00FE14B1" w:rsidRDefault="00FF03B0" w:rsidP="00FF03B0">
      <w:pPr>
        <w:spacing w:after="0" w:line="240" w:lineRule="auto"/>
        <w:jc w:val="right"/>
        <w:rPr>
          <w:color w:val="333300"/>
          <w:sz w:val="28"/>
          <w:szCs w:val="28"/>
        </w:rPr>
      </w:pPr>
    </w:p>
    <w:p w:rsidR="00FF03B0" w:rsidRPr="00FE14B1" w:rsidRDefault="00FF03B0" w:rsidP="00FF03B0">
      <w:pPr>
        <w:spacing w:after="0" w:line="240" w:lineRule="auto"/>
        <w:jc w:val="right"/>
        <w:rPr>
          <w:color w:val="333300"/>
          <w:sz w:val="28"/>
          <w:szCs w:val="28"/>
        </w:rPr>
      </w:pPr>
    </w:p>
    <w:p w:rsidR="00FF03B0" w:rsidRPr="00FE14B1" w:rsidRDefault="00FF03B0" w:rsidP="00FF03B0">
      <w:pPr>
        <w:spacing w:after="0" w:line="240" w:lineRule="auto"/>
        <w:jc w:val="right"/>
        <w:rPr>
          <w:color w:val="333300"/>
          <w:sz w:val="28"/>
          <w:szCs w:val="28"/>
        </w:rPr>
      </w:pPr>
    </w:p>
    <w:p w:rsidR="00FF03B0" w:rsidRPr="00FE14B1" w:rsidRDefault="00FF03B0" w:rsidP="00FF03B0">
      <w:pPr>
        <w:spacing w:after="0" w:line="240" w:lineRule="auto"/>
        <w:ind w:left="720"/>
        <w:jc w:val="right"/>
        <w:rPr>
          <w:color w:val="333300"/>
          <w:sz w:val="28"/>
          <w:szCs w:val="28"/>
        </w:rPr>
      </w:pPr>
      <w:r>
        <w:rPr>
          <w:color w:val="333300"/>
          <w:sz w:val="28"/>
          <w:szCs w:val="28"/>
        </w:rPr>
        <w:t xml:space="preserve"> </w:t>
      </w:r>
      <w:r w:rsidR="00881922">
        <w:rPr>
          <w:color w:val="333300"/>
          <w:sz w:val="28"/>
          <w:szCs w:val="28"/>
        </w:rPr>
        <w:t xml:space="preserve">March </w:t>
      </w:r>
      <w:r w:rsidR="00620F66">
        <w:rPr>
          <w:color w:val="333300"/>
          <w:sz w:val="28"/>
          <w:szCs w:val="28"/>
        </w:rPr>
        <w:t>2016</w:t>
      </w:r>
    </w:p>
    <w:p w:rsidR="00FF03B0" w:rsidRPr="00FE14B1" w:rsidRDefault="00FF03B0" w:rsidP="00FF03B0">
      <w:pPr>
        <w:rPr>
          <w:color w:val="333300"/>
          <w:sz w:val="28"/>
          <w:szCs w:val="28"/>
        </w:rPr>
      </w:pPr>
      <w:r w:rsidRPr="00FE14B1">
        <w:rPr>
          <w:color w:val="333300"/>
          <w:sz w:val="28"/>
          <w:szCs w:val="28"/>
        </w:rPr>
        <w:br w:type="page"/>
      </w:r>
    </w:p>
    <w:p w:rsidR="00FF03B0" w:rsidRPr="00C93715" w:rsidRDefault="000C55FE" w:rsidP="000C55FE">
      <w:pPr>
        <w:pStyle w:val="Heading1"/>
        <w:spacing w:after="480"/>
        <w:rPr>
          <w:color w:val="4F6228" w:themeColor="accent3" w:themeShade="80"/>
        </w:rPr>
      </w:pPr>
      <w:bookmarkStart w:id="1" w:name="_Toc333509850"/>
      <w:bookmarkStart w:id="2" w:name="_Toc438557954"/>
      <w:r>
        <w:rPr>
          <w:color w:val="4F6228" w:themeColor="accent3" w:themeShade="80"/>
        </w:rPr>
        <w:lastRenderedPageBreak/>
        <w:t>Role of the Inspector-General of Intelligence and Security</w:t>
      </w:r>
      <w:bookmarkEnd w:id="1"/>
      <w:bookmarkEnd w:id="2"/>
    </w:p>
    <w:p w:rsidR="00FF03B0" w:rsidRPr="00FE14B1" w:rsidRDefault="00FF03B0" w:rsidP="00FF03B0">
      <w:pPr>
        <w:spacing w:line="240" w:lineRule="auto"/>
        <w:rPr>
          <w:rFonts w:cstheme="minorHAnsi"/>
        </w:rPr>
      </w:pPr>
      <w:r w:rsidRPr="00FE14B1">
        <w:rPr>
          <w:rFonts w:cstheme="minorHAnsi"/>
        </w:rPr>
        <w:t>The Inspector-General of Intelligence and Security (IGIS) is an independent statutory officer who</w:t>
      </w:r>
      <w:r w:rsidR="00596298">
        <w:rPr>
          <w:rFonts w:cstheme="minorHAnsi"/>
        </w:rPr>
        <w:t xml:space="preserve">se </w:t>
      </w:r>
      <w:r w:rsidR="007C0FF4">
        <w:rPr>
          <w:rFonts w:cstheme="minorHAnsi"/>
        </w:rPr>
        <w:t xml:space="preserve">primary </w:t>
      </w:r>
      <w:r w:rsidR="00596298">
        <w:rPr>
          <w:rFonts w:cstheme="minorHAnsi"/>
        </w:rPr>
        <w:t>function is to</w:t>
      </w:r>
      <w:r w:rsidRPr="00FE14B1">
        <w:rPr>
          <w:rFonts w:cstheme="minorHAnsi"/>
        </w:rPr>
        <w:t xml:space="preserve"> </w:t>
      </w:r>
      <w:r w:rsidR="00596298">
        <w:rPr>
          <w:rFonts w:cstheme="minorHAnsi"/>
        </w:rPr>
        <w:t>oversee</w:t>
      </w:r>
      <w:r w:rsidR="006D152A">
        <w:rPr>
          <w:rFonts w:cstheme="minorHAnsi"/>
        </w:rPr>
        <w:t xml:space="preserve"> and </w:t>
      </w:r>
      <w:r w:rsidR="00596298">
        <w:rPr>
          <w:rFonts w:cstheme="minorHAnsi"/>
        </w:rPr>
        <w:t>review</w:t>
      </w:r>
      <w:r w:rsidRPr="00FE14B1">
        <w:rPr>
          <w:rFonts w:cstheme="minorHAnsi"/>
        </w:rPr>
        <w:t xml:space="preserve"> the activities of the </w:t>
      </w:r>
      <w:r w:rsidR="008C6C31">
        <w:rPr>
          <w:rFonts w:cstheme="minorHAnsi"/>
        </w:rPr>
        <w:t xml:space="preserve">following </w:t>
      </w:r>
      <w:r w:rsidRPr="00FE14B1">
        <w:rPr>
          <w:rFonts w:cstheme="minorHAnsi"/>
        </w:rPr>
        <w:t>agencies:</w:t>
      </w:r>
    </w:p>
    <w:p w:rsidR="00FF03B0" w:rsidRPr="00FE14B1" w:rsidRDefault="00FF03B0" w:rsidP="00FF03B0">
      <w:pPr>
        <w:numPr>
          <w:ilvl w:val="0"/>
          <w:numId w:val="1"/>
        </w:numPr>
        <w:shd w:val="clear" w:color="auto" w:fill="FFFFFF"/>
        <w:spacing w:before="100" w:beforeAutospacing="1" w:after="100" w:afterAutospacing="1" w:line="240" w:lineRule="auto"/>
        <w:ind w:right="75"/>
        <w:contextualSpacing/>
        <w:rPr>
          <w:rFonts w:cstheme="minorHAnsi"/>
        </w:rPr>
      </w:pPr>
      <w:r w:rsidRPr="00FE14B1">
        <w:rPr>
          <w:rFonts w:cstheme="minorHAnsi"/>
        </w:rPr>
        <w:t>Australian Security Intelligence Organisation (ASIO)</w:t>
      </w:r>
    </w:p>
    <w:p w:rsidR="00FF03B0" w:rsidRPr="00FE14B1" w:rsidRDefault="00FF03B0" w:rsidP="00FF03B0">
      <w:pPr>
        <w:numPr>
          <w:ilvl w:val="0"/>
          <w:numId w:val="1"/>
        </w:numPr>
        <w:shd w:val="clear" w:color="auto" w:fill="FFFFFF"/>
        <w:spacing w:before="100" w:beforeAutospacing="1" w:after="100" w:afterAutospacing="1" w:line="240" w:lineRule="auto"/>
        <w:ind w:right="75"/>
        <w:contextualSpacing/>
        <w:rPr>
          <w:rFonts w:cstheme="minorHAnsi"/>
        </w:rPr>
      </w:pPr>
      <w:r w:rsidRPr="00FE14B1">
        <w:rPr>
          <w:rFonts w:cstheme="minorHAnsi"/>
        </w:rPr>
        <w:t>Australian Secret Intelligence Service (ASIS)</w:t>
      </w:r>
    </w:p>
    <w:p w:rsidR="00FF03B0" w:rsidRPr="00FE14B1" w:rsidRDefault="00FF03B0" w:rsidP="00FF03B0">
      <w:pPr>
        <w:numPr>
          <w:ilvl w:val="0"/>
          <w:numId w:val="1"/>
        </w:numPr>
        <w:shd w:val="clear" w:color="auto" w:fill="FFFFFF"/>
        <w:spacing w:before="100" w:beforeAutospacing="1" w:after="100" w:afterAutospacing="1" w:line="240" w:lineRule="auto"/>
        <w:ind w:right="75"/>
        <w:contextualSpacing/>
        <w:rPr>
          <w:rFonts w:cstheme="minorHAnsi"/>
        </w:rPr>
      </w:pPr>
      <w:r w:rsidRPr="00FE14B1">
        <w:rPr>
          <w:rFonts w:cstheme="minorHAnsi"/>
        </w:rPr>
        <w:t>Australian Signals Directorate (ASD)</w:t>
      </w:r>
    </w:p>
    <w:p w:rsidR="00FF03B0" w:rsidRPr="00FE14B1" w:rsidRDefault="00FF03B0" w:rsidP="00FF03B0">
      <w:pPr>
        <w:numPr>
          <w:ilvl w:val="0"/>
          <w:numId w:val="1"/>
        </w:numPr>
        <w:shd w:val="clear" w:color="auto" w:fill="FFFFFF"/>
        <w:spacing w:before="100" w:beforeAutospacing="1" w:after="100" w:afterAutospacing="1" w:line="240" w:lineRule="auto"/>
        <w:ind w:right="75"/>
        <w:contextualSpacing/>
        <w:rPr>
          <w:rFonts w:cstheme="minorHAnsi"/>
        </w:rPr>
      </w:pPr>
      <w:r w:rsidRPr="00FE14B1">
        <w:rPr>
          <w:rFonts w:cstheme="minorHAnsi"/>
        </w:rPr>
        <w:t>Australian Geospatial-Intelligence Organisation (AGO)</w:t>
      </w:r>
    </w:p>
    <w:p w:rsidR="00FF03B0" w:rsidRPr="00FE14B1" w:rsidRDefault="00FF03B0" w:rsidP="00FF03B0">
      <w:pPr>
        <w:numPr>
          <w:ilvl w:val="0"/>
          <w:numId w:val="1"/>
        </w:numPr>
        <w:shd w:val="clear" w:color="auto" w:fill="FFFFFF"/>
        <w:spacing w:before="100" w:beforeAutospacing="1" w:after="100" w:afterAutospacing="1" w:line="240" w:lineRule="auto"/>
        <w:ind w:right="75"/>
        <w:contextualSpacing/>
        <w:rPr>
          <w:rFonts w:cstheme="minorHAnsi"/>
        </w:rPr>
      </w:pPr>
      <w:r w:rsidRPr="00FE14B1">
        <w:rPr>
          <w:rFonts w:cstheme="minorHAnsi"/>
        </w:rPr>
        <w:t>Defence Intelligence Organisation (DIO)</w:t>
      </w:r>
    </w:p>
    <w:p w:rsidR="00FF03B0" w:rsidRPr="00FE14B1" w:rsidRDefault="00FF03B0" w:rsidP="00FF03B0">
      <w:pPr>
        <w:numPr>
          <w:ilvl w:val="0"/>
          <w:numId w:val="1"/>
        </w:numPr>
        <w:shd w:val="clear" w:color="auto" w:fill="FFFFFF"/>
        <w:spacing w:before="100" w:beforeAutospacing="1" w:after="100" w:afterAutospacing="1" w:line="240" w:lineRule="auto"/>
        <w:ind w:right="75"/>
        <w:contextualSpacing/>
        <w:rPr>
          <w:rFonts w:cstheme="minorHAnsi"/>
        </w:rPr>
      </w:pPr>
      <w:r w:rsidRPr="00FE14B1">
        <w:rPr>
          <w:rFonts w:cstheme="minorHAnsi"/>
        </w:rPr>
        <w:t>Office of National Assessments (ONA).</w:t>
      </w:r>
    </w:p>
    <w:p w:rsidR="008C6C31" w:rsidRDefault="008C6C31" w:rsidP="00FF03B0">
      <w:pPr>
        <w:spacing w:after="0" w:line="240" w:lineRule="auto"/>
        <w:rPr>
          <w:rFonts w:cstheme="minorHAnsi"/>
        </w:rPr>
      </w:pPr>
    </w:p>
    <w:p w:rsidR="008C6C31" w:rsidRDefault="00A2783B" w:rsidP="00FF03B0">
      <w:pPr>
        <w:spacing w:after="0" w:line="240" w:lineRule="auto"/>
        <w:rPr>
          <w:rFonts w:cstheme="minorHAnsi"/>
        </w:rPr>
      </w:pPr>
      <w:r>
        <w:rPr>
          <w:rFonts w:cstheme="minorHAnsi"/>
        </w:rPr>
        <w:t>While e</w:t>
      </w:r>
      <w:r w:rsidR="008C6C31">
        <w:rPr>
          <w:rFonts w:cstheme="minorHAnsi"/>
        </w:rPr>
        <w:t xml:space="preserve">ach of these agencies </w:t>
      </w:r>
      <w:r w:rsidR="00881922">
        <w:rPr>
          <w:rFonts w:cstheme="minorHAnsi"/>
        </w:rPr>
        <w:t>is a</w:t>
      </w:r>
      <w:r w:rsidR="005F3D79">
        <w:rPr>
          <w:rFonts w:cstheme="minorHAnsi"/>
        </w:rPr>
        <w:t xml:space="preserve"> separate entit</w:t>
      </w:r>
      <w:r w:rsidR="00881922">
        <w:rPr>
          <w:rFonts w:cstheme="minorHAnsi"/>
        </w:rPr>
        <w:t xml:space="preserve">y </w:t>
      </w:r>
      <w:r w:rsidR="005F3D79">
        <w:rPr>
          <w:rFonts w:cstheme="minorHAnsi"/>
        </w:rPr>
        <w:t xml:space="preserve">with </w:t>
      </w:r>
      <w:r w:rsidR="00881922">
        <w:rPr>
          <w:rFonts w:cstheme="minorHAnsi"/>
        </w:rPr>
        <w:t xml:space="preserve">a </w:t>
      </w:r>
      <w:r w:rsidR="00A05E9B">
        <w:rPr>
          <w:rFonts w:cstheme="minorHAnsi"/>
        </w:rPr>
        <w:t xml:space="preserve">distinctly different </w:t>
      </w:r>
      <w:r w:rsidR="005F3D79">
        <w:rPr>
          <w:rFonts w:cstheme="minorHAnsi"/>
        </w:rPr>
        <w:t xml:space="preserve">mandate </w:t>
      </w:r>
      <w:r w:rsidR="00A05E9B">
        <w:rPr>
          <w:rFonts w:cstheme="minorHAnsi"/>
        </w:rPr>
        <w:t xml:space="preserve">collectively </w:t>
      </w:r>
      <w:r w:rsidR="00881922">
        <w:rPr>
          <w:rFonts w:cstheme="minorHAnsi"/>
        </w:rPr>
        <w:t xml:space="preserve">they </w:t>
      </w:r>
      <w:r w:rsidR="008C6C31">
        <w:rPr>
          <w:rFonts w:cstheme="minorHAnsi"/>
        </w:rPr>
        <w:t xml:space="preserve">form </w:t>
      </w:r>
      <w:r w:rsidR="00A05E9B">
        <w:rPr>
          <w:rFonts w:cstheme="minorHAnsi"/>
        </w:rPr>
        <w:t xml:space="preserve">what is </w:t>
      </w:r>
      <w:r>
        <w:rPr>
          <w:rFonts w:cstheme="minorHAnsi"/>
        </w:rPr>
        <w:t xml:space="preserve">colloquially </w:t>
      </w:r>
      <w:r w:rsidR="00A05E9B">
        <w:rPr>
          <w:rFonts w:cstheme="minorHAnsi"/>
        </w:rPr>
        <w:t xml:space="preserve">known as </w:t>
      </w:r>
      <w:r w:rsidR="008C6C31">
        <w:rPr>
          <w:rFonts w:cstheme="minorHAnsi"/>
        </w:rPr>
        <w:t>the Australian Intelligence Community (AIC).</w:t>
      </w:r>
    </w:p>
    <w:p w:rsidR="008C6C31" w:rsidRDefault="008C6C31" w:rsidP="00FF03B0">
      <w:pPr>
        <w:spacing w:after="0" w:line="240" w:lineRule="auto"/>
        <w:rPr>
          <w:rFonts w:cstheme="minorHAnsi"/>
        </w:rPr>
      </w:pPr>
    </w:p>
    <w:p w:rsidR="008C6C31" w:rsidRPr="008C6C31" w:rsidRDefault="008C6C31" w:rsidP="00FF03B0">
      <w:pPr>
        <w:spacing w:after="0" w:line="240" w:lineRule="auto"/>
        <w:rPr>
          <w:rFonts w:cstheme="minorHAnsi"/>
        </w:rPr>
      </w:pPr>
      <w:r>
        <w:rPr>
          <w:rFonts w:cstheme="minorHAnsi"/>
        </w:rPr>
        <w:t xml:space="preserve">The roles and functions of the IGIS are prescribed in the </w:t>
      </w:r>
      <w:r w:rsidRPr="008C6C31">
        <w:rPr>
          <w:rFonts w:cstheme="minorHAnsi"/>
          <w:i/>
        </w:rPr>
        <w:t>Inspector-General of Intelligence and Security Act 1986</w:t>
      </w:r>
      <w:r>
        <w:rPr>
          <w:rFonts w:cstheme="minorHAnsi"/>
        </w:rPr>
        <w:t xml:space="preserve"> (IGIS Act)</w:t>
      </w:r>
      <w:r w:rsidR="005F3D79">
        <w:rPr>
          <w:rFonts w:cstheme="minorHAnsi"/>
        </w:rPr>
        <w:t>;</w:t>
      </w:r>
      <w:r>
        <w:rPr>
          <w:rFonts w:cstheme="minorHAnsi"/>
        </w:rPr>
        <w:t xml:space="preserve"> in cognate legislation </w:t>
      </w:r>
      <w:r w:rsidR="00A2783B">
        <w:rPr>
          <w:rFonts w:cstheme="minorHAnsi"/>
        </w:rPr>
        <w:t>(</w:t>
      </w:r>
      <w:r>
        <w:rPr>
          <w:rFonts w:cstheme="minorHAnsi"/>
        </w:rPr>
        <w:t xml:space="preserve">such as the </w:t>
      </w:r>
      <w:r>
        <w:rPr>
          <w:rFonts w:cstheme="minorHAnsi"/>
          <w:i/>
        </w:rPr>
        <w:t xml:space="preserve">Intelligence Services Act 2001 </w:t>
      </w:r>
      <w:r>
        <w:rPr>
          <w:rFonts w:cstheme="minorHAnsi"/>
        </w:rPr>
        <w:t xml:space="preserve">and the </w:t>
      </w:r>
      <w:r w:rsidRPr="008C6C31">
        <w:rPr>
          <w:rFonts w:cstheme="minorHAnsi"/>
          <w:i/>
        </w:rPr>
        <w:t>Australian Security Intelligence Organisation Act 1979</w:t>
      </w:r>
      <w:r w:rsidR="00A2783B">
        <w:rPr>
          <w:rFonts w:cstheme="minorHAnsi"/>
        </w:rPr>
        <w:t>)</w:t>
      </w:r>
      <w:r w:rsidR="005F3D79">
        <w:rPr>
          <w:rFonts w:cstheme="minorHAnsi"/>
        </w:rPr>
        <w:t>; and in A</w:t>
      </w:r>
      <w:r>
        <w:rPr>
          <w:rFonts w:cstheme="minorHAnsi"/>
        </w:rPr>
        <w:t>cts w</w:t>
      </w:r>
      <w:r w:rsidR="00596298">
        <w:rPr>
          <w:rFonts w:cstheme="minorHAnsi"/>
        </w:rPr>
        <w:t>hich have wider application than</w:t>
      </w:r>
      <w:r>
        <w:rPr>
          <w:rFonts w:cstheme="minorHAnsi"/>
        </w:rPr>
        <w:t xml:space="preserve"> the AIC but make special provision for the hand</w:t>
      </w:r>
      <w:r w:rsidR="00D273C7">
        <w:rPr>
          <w:rFonts w:cstheme="minorHAnsi"/>
        </w:rPr>
        <w:t>l</w:t>
      </w:r>
      <w:r>
        <w:rPr>
          <w:rFonts w:cstheme="minorHAnsi"/>
        </w:rPr>
        <w:t>ing of sensitive information about the AIC.</w:t>
      </w:r>
      <w:r w:rsidR="005F3D79">
        <w:rPr>
          <w:rFonts w:cstheme="minorHAnsi"/>
        </w:rPr>
        <w:t xml:space="preserve">  The </w:t>
      </w:r>
      <w:r w:rsidR="005F3D79" w:rsidRPr="005F3D79">
        <w:rPr>
          <w:rFonts w:cstheme="minorHAnsi"/>
          <w:i/>
        </w:rPr>
        <w:t>Public Interest Disclosure Act 2013</w:t>
      </w:r>
      <w:r w:rsidR="005F3D79">
        <w:rPr>
          <w:rFonts w:cstheme="minorHAnsi"/>
        </w:rPr>
        <w:t xml:space="preserve"> (PID Act) falls into the latter category.</w:t>
      </w:r>
    </w:p>
    <w:p w:rsidR="008C6C31" w:rsidRDefault="008C6C31" w:rsidP="00FF03B0">
      <w:pPr>
        <w:spacing w:after="0" w:line="240" w:lineRule="auto"/>
        <w:rPr>
          <w:rFonts w:cstheme="minorHAnsi"/>
        </w:rPr>
      </w:pPr>
    </w:p>
    <w:p w:rsidR="005F3D79" w:rsidRDefault="00FF03B0" w:rsidP="00FF03B0">
      <w:pPr>
        <w:spacing w:after="0" w:line="240" w:lineRule="auto"/>
        <w:rPr>
          <w:rFonts w:cstheme="minorHAnsi"/>
        </w:rPr>
      </w:pPr>
      <w:r w:rsidRPr="00FE14B1">
        <w:rPr>
          <w:rFonts w:cstheme="minorHAnsi"/>
        </w:rPr>
        <w:t xml:space="preserve">The overarching purpose of IGIS’s activities is to </w:t>
      </w:r>
      <w:r w:rsidR="005F3D79">
        <w:rPr>
          <w:rFonts w:cstheme="minorHAnsi"/>
        </w:rPr>
        <w:t xml:space="preserve">provide assurance to responsible ministers that each of the AIC agencies acts </w:t>
      </w:r>
      <w:r w:rsidRPr="00FE14B1">
        <w:rPr>
          <w:rFonts w:cstheme="minorHAnsi"/>
        </w:rPr>
        <w:t>legally and with propriety, complies with ministerial guidelines and directives, and</w:t>
      </w:r>
      <w:r w:rsidR="00AB1A71">
        <w:rPr>
          <w:rFonts w:cstheme="minorHAnsi"/>
        </w:rPr>
        <w:t xml:space="preserve"> acts</w:t>
      </w:r>
      <w:r w:rsidRPr="00FE14B1">
        <w:rPr>
          <w:rFonts w:cstheme="minorHAnsi"/>
        </w:rPr>
        <w:t xml:space="preserve"> consistent</w:t>
      </w:r>
      <w:r w:rsidR="00AB1A71">
        <w:rPr>
          <w:rFonts w:cstheme="minorHAnsi"/>
        </w:rPr>
        <w:t>ly</w:t>
      </w:r>
      <w:r w:rsidRPr="00FE14B1">
        <w:rPr>
          <w:rFonts w:cstheme="minorHAnsi"/>
        </w:rPr>
        <w:t xml:space="preserve"> with human rights. </w:t>
      </w:r>
    </w:p>
    <w:p w:rsidR="005F3D79" w:rsidRDefault="005F3D79" w:rsidP="00FF03B0">
      <w:pPr>
        <w:spacing w:after="0" w:line="240" w:lineRule="auto"/>
        <w:rPr>
          <w:rFonts w:cstheme="minorHAnsi"/>
        </w:rPr>
      </w:pPr>
    </w:p>
    <w:p w:rsidR="005F3D79" w:rsidRDefault="005F3D79" w:rsidP="00FF03B0">
      <w:pPr>
        <w:spacing w:after="0" w:line="240" w:lineRule="auto"/>
        <w:rPr>
          <w:rFonts w:cstheme="minorHAnsi"/>
        </w:rPr>
      </w:pPr>
      <w:r>
        <w:rPr>
          <w:rFonts w:cstheme="minorHAnsi"/>
        </w:rPr>
        <w:t xml:space="preserve">This outcome is achieved by the IGIS conducting inquiries into the activities of the AIC agencies as necessary or appropriate, responding to complaints about the conduct of these agencies, conducting a rolling program of existing and new inspection activities, and undertaking special projects which focus on the </w:t>
      </w:r>
      <w:r w:rsidR="00A05E9B">
        <w:rPr>
          <w:rFonts w:cstheme="minorHAnsi"/>
        </w:rPr>
        <w:t xml:space="preserve">operational and other </w:t>
      </w:r>
      <w:r>
        <w:rPr>
          <w:rFonts w:cstheme="minorHAnsi"/>
        </w:rPr>
        <w:t>business activities of the AIC agencies.</w:t>
      </w:r>
    </w:p>
    <w:p w:rsidR="005F3D79" w:rsidRDefault="005F3D79" w:rsidP="00FF03B0">
      <w:pPr>
        <w:spacing w:after="0" w:line="240" w:lineRule="auto"/>
        <w:rPr>
          <w:rFonts w:cstheme="minorHAnsi"/>
        </w:rPr>
      </w:pPr>
    </w:p>
    <w:p w:rsidR="00620F66" w:rsidRDefault="00FF03B0" w:rsidP="00620F66">
      <w:pPr>
        <w:spacing w:after="0" w:line="240" w:lineRule="auto"/>
        <w:rPr>
          <w:rFonts w:cstheme="minorHAnsi"/>
        </w:rPr>
      </w:pPr>
      <w:r>
        <w:rPr>
          <w:rFonts w:cstheme="minorHAnsi"/>
        </w:rPr>
        <w:t xml:space="preserve">Details of the activities of the IGIS office are set out in </w:t>
      </w:r>
      <w:r w:rsidR="005F3D79">
        <w:rPr>
          <w:rFonts w:cstheme="minorHAnsi"/>
        </w:rPr>
        <w:t xml:space="preserve">an unclassified annual report to parliament. The most recent IGIS annual report was tabled in October 2015 and is available on the IGIS website at </w:t>
      </w:r>
      <w:hyperlink r:id="rId10" w:history="1">
        <w:r w:rsidR="005F3D79" w:rsidRPr="009C1A48">
          <w:rPr>
            <w:rStyle w:val="Hyperlink"/>
            <w:rFonts w:cstheme="minorHAnsi"/>
          </w:rPr>
          <w:t>http://www.igis.gov.au</w:t>
        </w:r>
      </w:hyperlink>
      <w:bookmarkStart w:id="3" w:name="_Toc438557955"/>
      <w:r w:rsidR="00A5315C">
        <w:rPr>
          <w:rFonts w:cstheme="minorHAnsi"/>
        </w:rPr>
        <w:t>.</w:t>
      </w:r>
    </w:p>
    <w:p w:rsidR="005F3D79" w:rsidRDefault="00A5315C" w:rsidP="00A5315C">
      <w:pPr>
        <w:pStyle w:val="Heading1"/>
        <w:rPr>
          <w:b w:val="0"/>
        </w:rPr>
      </w:pPr>
      <w:r w:rsidRPr="00A5315C">
        <w:rPr>
          <w:color w:val="4F6228" w:themeColor="accent3" w:themeShade="80"/>
        </w:rPr>
        <w:t xml:space="preserve">Purpose </w:t>
      </w:r>
      <w:r w:rsidR="00596298">
        <w:rPr>
          <w:color w:val="4F6228" w:themeColor="accent3" w:themeShade="80"/>
        </w:rPr>
        <w:t xml:space="preserve">and scope </w:t>
      </w:r>
      <w:r w:rsidRPr="00A5315C">
        <w:rPr>
          <w:color w:val="4F6228" w:themeColor="accent3" w:themeShade="80"/>
        </w:rPr>
        <w:t>of IGIS submission</w:t>
      </w:r>
      <w:r>
        <w:t xml:space="preserve"> </w:t>
      </w:r>
    </w:p>
    <w:p w:rsidR="00A5315C" w:rsidRDefault="00A5315C" w:rsidP="00A5315C">
      <w:r>
        <w:br/>
        <w:t>The purpose of this submission is to set out the special statutory role the IGIS plays in overs</w:t>
      </w:r>
      <w:r w:rsidR="00881922">
        <w:t xml:space="preserve">eeing </w:t>
      </w:r>
      <w:r>
        <w:t xml:space="preserve">the operation of the PID Act within the AIC, and </w:t>
      </w:r>
      <w:r w:rsidR="00881922">
        <w:t xml:space="preserve">to </w:t>
      </w:r>
      <w:r>
        <w:t xml:space="preserve">highlight a number of issues which the PID Act Review may wish to </w:t>
      </w:r>
      <w:r w:rsidR="00881922">
        <w:t xml:space="preserve">take into consideration </w:t>
      </w:r>
      <w:r>
        <w:t>when con</w:t>
      </w:r>
      <w:r w:rsidR="00881922">
        <w:t>templating</w:t>
      </w:r>
      <w:r>
        <w:t xml:space="preserve"> options for improvements to the PID Act.</w:t>
      </w:r>
    </w:p>
    <w:p w:rsidR="00596298" w:rsidRDefault="00596298" w:rsidP="00A5315C">
      <w:r>
        <w:t>While this submission formally sets out the views of my office, for which I take responsibility, it also draws upon informal input we have received from the AIC agencies on their experiences in managing disclosures under the PID Act</w:t>
      </w:r>
      <w:r w:rsidR="00881922">
        <w:t>.</w:t>
      </w:r>
    </w:p>
    <w:p w:rsidR="00596298" w:rsidRPr="00A5315C" w:rsidRDefault="00596298" w:rsidP="00A5315C">
      <w:r>
        <w:t>It should be noted that the Defence intelligence group of agencies (that is, ASD, AGO and DIO) have also formally contributed their views to the submission made by the Department of Defence to this review.</w:t>
      </w:r>
    </w:p>
    <w:bookmarkEnd w:id="3"/>
    <w:p w:rsidR="00A5315C" w:rsidRDefault="00A2783B" w:rsidP="00620F66">
      <w:pPr>
        <w:pStyle w:val="Heading1"/>
        <w:rPr>
          <w:color w:val="4F6228" w:themeColor="accent3" w:themeShade="80"/>
        </w:rPr>
      </w:pPr>
      <w:r>
        <w:rPr>
          <w:color w:val="4F6228" w:themeColor="accent3" w:themeShade="80"/>
        </w:rPr>
        <w:lastRenderedPageBreak/>
        <w:br/>
      </w:r>
      <w:r w:rsidR="00620F66" w:rsidRPr="00620F66">
        <w:rPr>
          <w:color w:val="4F6228" w:themeColor="accent3" w:themeShade="80"/>
        </w:rPr>
        <w:t>Responsibilities of the IGIS under the PID Act</w:t>
      </w:r>
    </w:p>
    <w:p w:rsidR="00FF03B0" w:rsidRDefault="00A5315C" w:rsidP="00A5315C">
      <w:r>
        <w:br/>
        <w:t>The Commonwealth Ombudsman (Ombudsman) and the IGIS are each accorded significant statutory powers and responsibilities under the PID Act.  These powers</w:t>
      </w:r>
      <w:r w:rsidR="00A05E9B">
        <w:t>,</w:t>
      </w:r>
      <w:r>
        <w:t xml:space="preserve"> while largely analogous</w:t>
      </w:r>
      <w:r w:rsidR="00A05E9B">
        <w:t>,</w:t>
      </w:r>
      <w:r>
        <w:t xml:space="preserve"> are not identical.</w:t>
      </w:r>
    </w:p>
    <w:p w:rsidR="00A2783B" w:rsidRDefault="00A5315C" w:rsidP="00CC06BF">
      <w:r>
        <w:t>T</w:t>
      </w:r>
      <w:r w:rsidR="00CC06BF">
        <w:t>he essential difference</w:t>
      </w:r>
      <w:r>
        <w:t xml:space="preserve"> is that the Ombudsman is generally responsible for</w:t>
      </w:r>
      <w:r w:rsidR="00A2783B">
        <w:t>:</w:t>
      </w:r>
    </w:p>
    <w:p w:rsidR="00A2783B" w:rsidRDefault="00A5315C" w:rsidP="00A2783B">
      <w:pPr>
        <w:pStyle w:val="ListParagraph"/>
        <w:numPr>
          <w:ilvl w:val="0"/>
          <w:numId w:val="33"/>
        </w:numPr>
      </w:pPr>
      <w:r>
        <w:t xml:space="preserve">the operation of the PID scheme across the </w:t>
      </w:r>
      <w:r w:rsidR="00CC06BF">
        <w:t xml:space="preserve">entire </w:t>
      </w:r>
      <w:r w:rsidR="00A2783B">
        <w:t>Commonwealth employment sector</w:t>
      </w:r>
      <w:r w:rsidR="00A2783B">
        <w:br/>
      </w:r>
    </w:p>
    <w:p w:rsidR="00A2783B" w:rsidRDefault="00A2783B" w:rsidP="00A2783B">
      <w:pPr>
        <w:pStyle w:val="ListParagraph"/>
        <w:numPr>
          <w:ilvl w:val="0"/>
          <w:numId w:val="33"/>
        </w:numPr>
      </w:pPr>
      <w:r>
        <w:t xml:space="preserve"> setting PID Standards</w:t>
      </w:r>
      <w:r w:rsidR="00A5315C">
        <w:t xml:space="preserve"> </w:t>
      </w:r>
      <w:r>
        <w:br/>
      </w:r>
    </w:p>
    <w:p w:rsidR="00A2783B" w:rsidRDefault="00A5315C" w:rsidP="00A2783B">
      <w:pPr>
        <w:pStyle w:val="ListParagraph"/>
        <w:numPr>
          <w:ilvl w:val="0"/>
          <w:numId w:val="33"/>
        </w:numPr>
      </w:pPr>
      <w:r>
        <w:t xml:space="preserve">raising </w:t>
      </w:r>
      <w:r w:rsidR="00A2783B">
        <w:t xml:space="preserve">general </w:t>
      </w:r>
      <w:r>
        <w:t>awareness of the PID scheme</w:t>
      </w:r>
      <w:r w:rsidR="00A2783B">
        <w:t>,</w:t>
      </w:r>
      <w:r>
        <w:t xml:space="preserve"> and </w:t>
      </w:r>
      <w:r w:rsidR="00A2783B">
        <w:br/>
      </w:r>
    </w:p>
    <w:p w:rsidR="00A2783B" w:rsidRDefault="00A5315C" w:rsidP="00A2783B">
      <w:pPr>
        <w:pStyle w:val="ListParagraph"/>
        <w:numPr>
          <w:ilvl w:val="0"/>
          <w:numId w:val="33"/>
        </w:numPr>
      </w:pPr>
      <w:r>
        <w:t xml:space="preserve">reporting annually to Parliament on the operation of the PID Act, </w:t>
      </w:r>
    </w:p>
    <w:p w:rsidR="00E8338E" w:rsidRDefault="00881922" w:rsidP="00A2783B">
      <w:r>
        <w:t xml:space="preserve">The </w:t>
      </w:r>
      <w:r w:rsidR="00A5315C">
        <w:t xml:space="preserve">IGIS’s responsibilities under the PID Act are limited to </w:t>
      </w:r>
      <w:r w:rsidR="00A05E9B">
        <w:t xml:space="preserve">exercising certain powers with respect to the </w:t>
      </w:r>
      <w:r w:rsidR="00A5315C">
        <w:t>AIC agencies.</w:t>
      </w:r>
    </w:p>
    <w:p w:rsidR="00CC06BF" w:rsidRPr="000E4516" w:rsidRDefault="00CC06BF" w:rsidP="00CC06BF">
      <w:r>
        <w:t xml:space="preserve">In addition to processing any public interest disclosures </w:t>
      </w:r>
      <w:r w:rsidR="00A2783B">
        <w:t xml:space="preserve">made to, or about </w:t>
      </w:r>
      <w:r>
        <w:t xml:space="preserve">the </w:t>
      </w:r>
      <w:r w:rsidR="00A2783B">
        <w:t xml:space="preserve">activities of the </w:t>
      </w:r>
      <w:r>
        <w:t>IGIS, the IGIS is required under the PID Act to:</w:t>
      </w:r>
    </w:p>
    <w:p w:rsidR="00E8338E" w:rsidRPr="00533469" w:rsidRDefault="00E8338E" w:rsidP="00CC06BF">
      <w:pPr>
        <w:pStyle w:val="BodyText"/>
        <w:numPr>
          <w:ilvl w:val="0"/>
          <w:numId w:val="32"/>
        </w:numPr>
        <w:ind w:right="-46"/>
        <w:rPr>
          <w:rFonts w:asciiTheme="minorHAnsi" w:hAnsiTheme="minorHAnsi"/>
          <w:sz w:val="22"/>
          <w:szCs w:val="22"/>
        </w:rPr>
      </w:pPr>
      <w:r w:rsidRPr="00533469">
        <w:rPr>
          <w:rFonts w:asciiTheme="minorHAnsi" w:hAnsiTheme="minorHAnsi"/>
          <w:sz w:val="22"/>
          <w:szCs w:val="22"/>
        </w:rPr>
        <w:t>receiv</w:t>
      </w:r>
      <w:r w:rsidR="00CC06BF">
        <w:rPr>
          <w:rFonts w:asciiTheme="minorHAnsi" w:hAnsiTheme="minorHAnsi"/>
          <w:sz w:val="22"/>
          <w:szCs w:val="22"/>
        </w:rPr>
        <w:t>e</w:t>
      </w:r>
      <w:r w:rsidRPr="00533469">
        <w:rPr>
          <w:rFonts w:asciiTheme="minorHAnsi" w:hAnsiTheme="minorHAnsi"/>
          <w:sz w:val="22"/>
          <w:szCs w:val="22"/>
        </w:rPr>
        <w:t xml:space="preserve"> notifications of </w:t>
      </w:r>
      <w:r w:rsidR="00D273C7">
        <w:rPr>
          <w:rFonts w:asciiTheme="minorHAnsi" w:hAnsiTheme="minorHAnsi"/>
          <w:sz w:val="22"/>
          <w:szCs w:val="22"/>
        </w:rPr>
        <w:t xml:space="preserve">every PID which is </w:t>
      </w:r>
      <w:r w:rsidRPr="00533469">
        <w:rPr>
          <w:rFonts w:asciiTheme="minorHAnsi" w:hAnsiTheme="minorHAnsi"/>
          <w:sz w:val="22"/>
          <w:szCs w:val="22"/>
        </w:rPr>
        <w:t>allocat</w:t>
      </w:r>
      <w:r w:rsidR="00D273C7">
        <w:rPr>
          <w:rFonts w:asciiTheme="minorHAnsi" w:hAnsiTheme="minorHAnsi"/>
          <w:sz w:val="22"/>
          <w:szCs w:val="22"/>
        </w:rPr>
        <w:t>ed</w:t>
      </w:r>
      <w:r w:rsidR="00A2783B">
        <w:rPr>
          <w:rFonts w:asciiTheme="minorHAnsi" w:hAnsiTheme="minorHAnsi"/>
          <w:sz w:val="22"/>
          <w:szCs w:val="22"/>
        </w:rPr>
        <w:t xml:space="preserve"> to </w:t>
      </w:r>
      <w:r w:rsidR="00CC06BF">
        <w:rPr>
          <w:rFonts w:asciiTheme="minorHAnsi" w:hAnsiTheme="minorHAnsi"/>
          <w:sz w:val="22"/>
          <w:szCs w:val="22"/>
        </w:rPr>
        <w:t xml:space="preserve">any of the AIC agencies </w:t>
      </w:r>
    </w:p>
    <w:p w:rsidR="00E8338E" w:rsidRPr="00533469" w:rsidRDefault="00E8338E" w:rsidP="00CC06BF">
      <w:pPr>
        <w:pStyle w:val="BodyText"/>
        <w:numPr>
          <w:ilvl w:val="0"/>
          <w:numId w:val="32"/>
        </w:numPr>
        <w:ind w:right="-46"/>
        <w:rPr>
          <w:rFonts w:asciiTheme="minorHAnsi" w:hAnsiTheme="minorHAnsi"/>
          <w:sz w:val="22"/>
          <w:szCs w:val="22"/>
        </w:rPr>
      </w:pPr>
      <w:r w:rsidRPr="00533469">
        <w:rPr>
          <w:rFonts w:asciiTheme="minorHAnsi" w:hAnsiTheme="minorHAnsi"/>
          <w:sz w:val="22"/>
          <w:szCs w:val="22"/>
        </w:rPr>
        <w:t>receiv</w:t>
      </w:r>
      <w:r w:rsidR="00CC06BF">
        <w:rPr>
          <w:rFonts w:asciiTheme="minorHAnsi" w:hAnsiTheme="minorHAnsi"/>
          <w:sz w:val="22"/>
          <w:szCs w:val="22"/>
        </w:rPr>
        <w:t>e</w:t>
      </w:r>
      <w:r w:rsidRPr="00533469">
        <w:rPr>
          <w:rFonts w:asciiTheme="minorHAnsi" w:hAnsiTheme="minorHAnsi"/>
          <w:sz w:val="22"/>
          <w:szCs w:val="22"/>
        </w:rPr>
        <w:t xml:space="preserve"> notifications from </w:t>
      </w:r>
      <w:r w:rsidR="00CC06BF">
        <w:rPr>
          <w:rFonts w:asciiTheme="minorHAnsi" w:hAnsiTheme="minorHAnsi"/>
          <w:sz w:val="22"/>
          <w:szCs w:val="22"/>
        </w:rPr>
        <w:t>any AIC agenc</w:t>
      </w:r>
      <w:r w:rsidR="00881922">
        <w:rPr>
          <w:rFonts w:asciiTheme="minorHAnsi" w:hAnsiTheme="minorHAnsi"/>
          <w:sz w:val="22"/>
          <w:szCs w:val="22"/>
        </w:rPr>
        <w:t>y</w:t>
      </w:r>
      <w:r w:rsidR="00CC06BF">
        <w:rPr>
          <w:rFonts w:asciiTheme="minorHAnsi" w:hAnsiTheme="minorHAnsi"/>
          <w:sz w:val="22"/>
          <w:szCs w:val="22"/>
        </w:rPr>
        <w:t xml:space="preserve"> where the Principal Officer of that agency </w:t>
      </w:r>
      <w:r w:rsidRPr="00533469">
        <w:rPr>
          <w:rFonts w:asciiTheme="minorHAnsi" w:hAnsiTheme="minorHAnsi"/>
          <w:sz w:val="22"/>
          <w:szCs w:val="22"/>
        </w:rPr>
        <w:t xml:space="preserve">has exercised </w:t>
      </w:r>
      <w:r w:rsidR="00881922">
        <w:rPr>
          <w:rFonts w:asciiTheme="minorHAnsi" w:hAnsiTheme="minorHAnsi"/>
          <w:sz w:val="22"/>
          <w:szCs w:val="22"/>
        </w:rPr>
        <w:t>a</w:t>
      </w:r>
      <w:r w:rsidR="00CC06BF">
        <w:rPr>
          <w:rFonts w:asciiTheme="minorHAnsi" w:hAnsiTheme="minorHAnsi"/>
          <w:sz w:val="22"/>
          <w:szCs w:val="22"/>
        </w:rPr>
        <w:t xml:space="preserve"> discretion </w:t>
      </w:r>
      <w:r w:rsidRPr="00533469">
        <w:rPr>
          <w:rFonts w:asciiTheme="minorHAnsi" w:hAnsiTheme="minorHAnsi"/>
          <w:sz w:val="22"/>
          <w:szCs w:val="22"/>
        </w:rPr>
        <w:t>not to investigate</w:t>
      </w:r>
      <w:r w:rsidR="00CC06BF">
        <w:rPr>
          <w:rFonts w:asciiTheme="minorHAnsi" w:hAnsiTheme="minorHAnsi"/>
          <w:sz w:val="22"/>
          <w:szCs w:val="22"/>
        </w:rPr>
        <w:t>,</w:t>
      </w:r>
      <w:r w:rsidRPr="00533469">
        <w:rPr>
          <w:rFonts w:asciiTheme="minorHAnsi" w:hAnsiTheme="minorHAnsi"/>
          <w:sz w:val="22"/>
          <w:szCs w:val="22"/>
        </w:rPr>
        <w:t xml:space="preserve"> or not investigate further</w:t>
      </w:r>
      <w:r w:rsidR="00CC06BF">
        <w:rPr>
          <w:rFonts w:asciiTheme="minorHAnsi" w:hAnsiTheme="minorHAnsi"/>
          <w:sz w:val="22"/>
          <w:szCs w:val="22"/>
        </w:rPr>
        <w:t>, a disclosure which has been allocated to that agency for investigation</w:t>
      </w:r>
    </w:p>
    <w:p w:rsidR="00E8338E" w:rsidRPr="00533469" w:rsidRDefault="00E8338E" w:rsidP="00CC06BF">
      <w:pPr>
        <w:pStyle w:val="BodyText"/>
        <w:numPr>
          <w:ilvl w:val="0"/>
          <w:numId w:val="32"/>
        </w:numPr>
        <w:ind w:right="-46"/>
        <w:rPr>
          <w:rFonts w:asciiTheme="minorHAnsi" w:hAnsiTheme="minorHAnsi"/>
          <w:sz w:val="22"/>
          <w:szCs w:val="22"/>
        </w:rPr>
      </w:pPr>
      <w:r w:rsidRPr="00533469">
        <w:rPr>
          <w:rFonts w:asciiTheme="minorHAnsi" w:hAnsiTheme="minorHAnsi"/>
          <w:sz w:val="22"/>
          <w:szCs w:val="22"/>
        </w:rPr>
        <w:t>receiv</w:t>
      </w:r>
      <w:r w:rsidR="00CC06BF">
        <w:rPr>
          <w:rFonts w:asciiTheme="minorHAnsi" w:hAnsiTheme="minorHAnsi"/>
          <w:sz w:val="22"/>
          <w:szCs w:val="22"/>
        </w:rPr>
        <w:t>e</w:t>
      </w:r>
      <w:r w:rsidRPr="00533469">
        <w:rPr>
          <w:rFonts w:asciiTheme="minorHAnsi" w:hAnsiTheme="minorHAnsi"/>
          <w:sz w:val="22"/>
          <w:szCs w:val="22"/>
        </w:rPr>
        <w:t>, allocat</w:t>
      </w:r>
      <w:r w:rsidR="00CC06BF">
        <w:rPr>
          <w:rFonts w:asciiTheme="minorHAnsi" w:hAnsiTheme="minorHAnsi"/>
          <w:sz w:val="22"/>
          <w:szCs w:val="22"/>
        </w:rPr>
        <w:t>e</w:t>
      </w:r>
      <w:r w:rsidRPr="00533469">
        <w:rPr>
          <w:rFonts w:asciiTheme="minorHAnsi" w:hAnsiTheme="minorHAnsi"/>
          <w:sz w:val="22"/>
          <w:szCs w:val="22"/>
        </w:rPr>
        <w:t xml:space="preserve"> and investigat</w:t>
      </w:r>
      <w:r w:rsidR="00CC06BF">
        <w:rPr>
          <w:rFonts w:asciiTheme="minorHAnsi" w:hAnsiTheme="minorHAnsi"/>
          <w:sz w:val="22"/>
          <w:szCs w:val="22"/>
        </w:rPr>
        <w:t>e</w:t>
      </w:r>
      <w:r w:rsidRPr="00533469">
        <w:rPr>
          <w:rFonts w:asciiTheme="minorHAnsi" w:hAnsiTheme="minorHAnsi"/>
          <w:sz w:val="22"/>
          <w:szCs w:val="22"/>
        </w:rPr>
        <w:t xml:space="preserve"> </w:t>
      </w:r>
      <w:r w:rsidR="00A2783B">
        <w:rPr>
          <w:rFonts w:asciiTheme="minorHAnsi" w:hAnsiTheme="minorHAnsi"/>
          <w:sz w:val="22"/>
          <w:szCs w:val="22"/>
        </w:rPr>
        <w:t xml:space="preserve">authorised </w:t>
      </w:r>
      <w:r w:rsidR="00CC06BF">
        <w:rPr>
          <w:rFonts w:asciiTheme="minorHAnsi" w:hAnsiTheme="minorHAnsi"/>
          <w:sz w:val="22"/>
          <w:szCs w:val="22"/>
        </w:rPr>
        <w:t>internal disclosures made about an AIC agency by a current or former public official</w:t>
      </w:r>
    </w:p>
    <w:p w:rsidR="00CC06BF" w:rsidRDefault="00CC06BF" w:rsidP="00CC06BF">
      <w:pPr>
        <w:pStyle w:val="BodyText"/>
        <w:numPr>
          <w:ilvl w:val="0"/>
          <w:numId w:val="32"/>
        </w:numPr>
        <w:ind w:right="-46"/>
        <w:rPr>
          <w:rFonts w:asciiTheme="minorHAnsi" w:hAnsiTheme="minorHAnsi"/>
          <w:sz w:val="22"/>
          <w:szCs w:val="22"/>
        </w:rPr>
      </w:pPr>
      <w:r>
        <w:rPr>
          <w:rFonts w:asciiTheme="minorHAnsi" w:hAnsiTheme="minorHAnsi"/>
          <w:sz w:val="22"/>
          <w:szCs w:val="22"/>
        </w:rPr>
        <w:t>where appropriate, deem an individual</w:t>
      </w:r>
      <w:r w:rsidR="00A2783B">
        <w:rPr>
          <w:rFonts w:asciiTheme="minorHAnsi" w:hAnsiTheme="minorHAnsi"/>
          <w:sz w:val="22"/>
          <w:szCs w:val="22"/>
        </w:rPr>
        <w:t xml:space="preserve"> to be a public official</w:t>
      </w:r>
      <w:r>
        <w:rPr>
          <w:rFonts w:asciiTheme="minorHAnsi" w:hAnsiTheme="minorHAnsi"/>
          <w:sz w:val="22"/>
          <w:szCs w:val="22"/>
        </w:rPr>
        <w:t xml:space="preserve"> so </w:t>
      </w:r>
      <w:r w:rsidR="00881922">
        <w:rPr>
          <w:rFonts w:asciiTheme="minorHAnsi" w:hAnsiTheme="minorHAnsi"/>
          <w:sz w:val="22"/>
          <w:szCs w:val="22"/>
        </w:rPr>
        <w:t xml:space="preserve">as to be </w:t>
      </w:r>
      <w:r>
        <w:rPr>
          <w:rFonts w:asciiTheme="minorHAnsi" w:hAnsiTheme="minorHAnsi"/>
          <w:sz w:val="22"/>
          <w:szCs w:val="22"/>
        </w:rPr>
        <w:t>afforded statutory protection under the PID Act, from possible reprisal action</w:t>
      </w:r>
    </w:p>
    <w:p w:rsidR="00E8338E" w:rsidRPr="00533469" w:rsidRDefault="00CC06BF" w:rsidP="00CC06BF">
      <w:pPr>
        <w:pStyle w:val="BodyText"/>
        <w:numPr>
          <w:ilvl w:val="0"/>
          <w:numId w:val="32"/>
        </w:numPr>
        <w:ind w:right="-46"/>
        <w:rPr>
          <w:rFonts w:asciiTheme="minorHAnsi" w:hAnsiTheme="minorHAnsi"/>
          <w:sz w:val="22"/>
          <w:szCs w:val="22"/>
        </w:rPr>
      </w:pPr>
      <w:r>
        <w:rPr>
          <w:rFonts w:asciiTheme="minorHAnsi" w:hAnsiTheme="minorHAnsi"/>
          <w:sz w:val="22"/>
          <w:szCs w:val="22"/>
        </w:rPr>
        <w:t>make</w:t>
      </w:r>
      <w:r w:rsidR="00E8338E" w:rsidRPr="00533469">
        <w:rPr>
          <w:rFonts w:asciiTheme="minorHAnsi" w:hAnsiTheme="minorHAnsi"/>
          <w:sz w:val="22"/>
          <w:szCs w:val="22"/>
        </w:rPr>
        <w:t xml:space="preserve"> decisions about </w:t>
      </w:r>
      <w:r>
        <w:rPr>
          <w:rFonts w:asciiTheme="minorHAnsi" w:hAnsiTheme="minorHAnsi"/>
          <w:sz w:val="22"/>
          <w:szCs w:val="22"/>
        </w:rPr>
        <w:t xml:space="preserve">the granting of </w:t>
      </w:r>
      <w:r w:rsidR="00E8338E" w:rsidRPr="00533469">
        <w:rPr>
          <w:rFonts w:asciiTheme="minorHAnsi" w:hAnsiTheme="minorHAnsi"/>
          <w:sz w:val="22"/>
          <w:szCs w:val="22"/>
        </w:rPr>
        <w:t xml:space="preserve">extensions of time </w:t>
      </w:r>
      <w:r>
        <w:rPr>
          <w:rFonts w:asciiTheme="minorHAnsi" w:hAnsiTheme="minorHAnsi"/>
          <w:sz w:val="22"/>
          <w:szCs w:val="22"/>
        </w:rPr>
        <w:t>to AIC agencies to complete investigations conducted under the PID Act</w:t>
      </w:r>
    </w:p>
    <w:p w:rsidR="00E8338E" w:rsidRPr="00533469" w:rsidRDefault="00E8338E" w:rsidP="00CC06BF">
      <w:pPr>
        <w:pStyle w:val="BodyText"/>
        <w:numPr>
          <w:ilvl w:val="0"/>
          <w:numId w:val="32"/>
        </w:numPr>
        <w:ind w:right="-46"/>
        <w:rPr>
          <w:rFonts w:asciiTheme="minorHAnsi" w:hAnsiTheme="minorHAnsi"/>
          <w:sz w:val="22"/>
          <w:szCs w:val="22"/>
        </w:rPr>
      </w:pPr>
      <w:r w:rsidRPr="00533469">
        <w:rPr>
          <w:rFonts w:asciiTheme="minorHAnsi" w:hAnsiTheme="minorHAnsi"/>
          <w:sz w:val="22"/>
          <w:szCs w:val="22"/>
        </w:rPr>
        <w:t>provid</w:t>
      </w:r>
      <w:r w:rsidR="009E2E23">
        <w:rPr>
          <w:rFonts w:asciiTheme="minorHAnsi" w:hAnsiTheme="minorHAnsi"/>
          <w:sz w:val="22"/>
          <w:szCs w:val="22"/>
        </w:rPr>
        <w:t>e</w:t>
      </w:r>
      <w:r w:rsidRPr="00533469">
        <w:rPr>
          <w:rFonts w:asciiTheme="minorHAnsi" w:hAnsiTheme="minorHAnsi"/>
          <w:sz w:val="22"/>
          <w:szCs w:val="22"/>
        </w:rPr>
        <w:t xml:space="preserve"> assistance, education and awareness programs</w:t>
      </w:r>
      <w:r w:rsidR="009E2E23">
        <w:rPr>
          <w:rFonts w:asciiTheme="minorHAnsi" w:hAnsiTheme="minorHAnsi"/>
          <w:sz w:val="22"/>
          <w:szCs w:val="22"/>
        </w:rPr>
        <w:t xml:space="preserve"> on the operation of the PID Act</w:t>
      </w:r>
      <w:r w:rsidR="00A2783B">
        <w:rPr>
          <w:rFonts w:asciiTheme="minorHAnsi" w:hAnsiTheme="minorHAnsi"/>
          <w:sz w:val="22"/>
          <w:szCs w:val="22"/>
        </w:rPr>
        <w:t xml:space="preserve"> to the AIC agencies</w:t>
      </w:r>
    </w:p>
    <w:p w:rsidR="00E8338E" w:rsidRPr="00533469" w:rsidRDefault="00A2783B" w:rsidP="00CC06BF">
      <w:pPr>
        <w:pStyle w:val="BodyText"/>
        <w:numPr>
          <w:ilvl w:val="0"/>
          <w:numId w:val="32"/>
        </w:numPr>
        <w:ind w:right="-46"/>
        <w:rPr>
          <w:rFonts w:asciiTheme="minorHAnsi" w:hAnsiTheme="minorHAnsi"/>
          <w:sz w:val="22"/>
          <w:szCs w:val="22"/>
        </w:rPr>
      </w:pPr>
      <w:proofErr w:type="gramStart"/>
      <w:r>
        <w:rPr>
          <w:rFonts w:asciiTheme="minorHAnsi" w:hAnsiTheme="minorHAnsi"/>
          <w:sz w:val="22"/>
          <w:szCs w:val="22"/>
        </w:rPr>
        <w:t>assist</w:t>
      </w:r>
      <w:proofErr w:type="gramEnd"/>
      <w:r>
        <w:rPr>
          <w:rFonts w:asciiTheme="minorHAnsi" w:hAnsiTheme="minorHAnsi"/>
          <w:sz w:val="22"/>
          <w:szCs w:val="22"/>
        </w:rPr>
        <w:t xml:space="preserve"> </w:t>
      </w:r>
      <w:r w:rsidR="00E8338E" w:rsidRPr="00533469">
        <w:rPr>
          <w:rFonts w:asciiTheme="minorHAnsi" w:hAnsiTheme="minorHAnsi"/>
          <w:sz w:val="22"/>
          <w:szCs w:val="22"/>
        </w:rPr>
        <w:t>the Ombudsman in relation to the performance of the Ombudsma</w:t>
      </w:r>
      <w:r w:rsidR="009E2E23">
        <w:rPr>
          <w:rFonts w:asciiTheme="minorHAnsi" w:hAnsiTheme="minorHAnsi"/>
          <w:sz w:val="22"/>
          <w:szCs w:val="22"/>
        </w:rPr>
        <w:t>n’s functions under the PID Act (</w:t>
      </w:r>
      <w:r>
        <w:rPr>
          <w:rFonts w:asciiTheme="minorHAnsi" w:hAnsiTheme="minorHAnsi"/>
          <w:sz w:val="22"/>
          <w:szCs w:val="22"/>
        </w:rPr>
        <w:t>primarily th</w:t>
      </w:r>
      <w:r w:rsidR="003D6BCC">
        <w:rPr>
          <w:rFonts w:asciiTheme="minorHAnsi" w:hAnsiTheme="minorHAnsi"/>
          <w:sz w:val="22"/>
          <w:szCs w:val="22"/>
        </w:rPr>
        <w:t>r</w:t>
      </w:r>
      <w:r>
        <w:rPr>
          <w:rFonts w:asciiTheme="minorHAnsi" w:hAnsiTheme="minorHAnsi"/>
          <w:sz w:val="22"/>
          <w:szCs w:val="22"/>
        </w:rPr>
        <w:t xml:space="preserve">ough </w:t>
      </w:r>
      <w:r w:rsidR="009E2E23">
        <w:rPr>
          <w:rFonts w:asciiTheme="minorHAnsi" w:hAnsiTheme="minorHAnsi"/>
          <w:sz w:val="22"/>
          <w:szCs w:val="22"/>
        </w:rPr>
        <w:t xml:space="preserve">coordinating </w:t>
      </w:r>
      <w:r>
        <w:rPr>
          <w:rFonts w:asciiTheme="minorHAnsi" w:hAnsiTheme="minorHAnsi"/>
          <w:sz w:val="22"/>
          <w:szCs w:val="22"/>
        </w:rPr>
        <w:t xml:space="preserve">input </w:t>
      </w:r>
      <w:r w:rsidR="009E2E23">
        <w:rPr>
          <w:rFonts w:asciiTheme="minorHAnsi" w:hAnsiTheme="minorHAnsi"/>
          <w:sz w:val="22"/>
          <w:szCs w:val="22"/>
        </w:rPr>
        <w:t xml:space="preserve">from the AIC agencies for inclusion in the Ombudsman’s annual report to </w:t>
      </w:r>
      <w:r w:rsidR="003D6BCC">
        <w:rPr>
          <w:rFonts w:asciiTheme="minorHAnsi" w:hAnsiTheme="minorHAnsi"/>
          <w:sz w:val="22"/>
          <w:szCs w:val="22"/>
        </w:rPr>
        <w:t>P</w:t>
      </w:r>
      <w:r w:rsidR="009E2E23">
        <w:rPr>
          <w:rFonts w:asciiTheme="minorHAnsi" w:hAnsiTheme="minorHAnsi"/>
          <w:sz w:val="22"/>
          <w:szCs w:val="22"/>
        </w:rPr>
        <w:t>arliament on the operation of the PID Act).</w:t>
      </w:r>
    </w:p>
    <w:p w:rsidR="00E8338E" w:rsidRPr="000E4516" w:rsidRDefault="00E8338E" w:rsidP="00533469">
      <w:pPr>
        <w:pStyle w:val="BodyText"/>
        <w:ind w:left="0" w:right="-46"/>
      </w:pPr>
      <w:r w:rsidRPr="00533469">
        <w:rPr>
          <w:rFonts w:asciiTheme="minorHAnsi" w:hAnsiTheme="minorHAnsi"/>
          <w:color w:val="1C1C1B"/>
          <w:sz w:val="22"/>
          <w:szCs w:val="22"/>
        </w:rPr>
        <w:t xml:space="preserve">The IGIS can </w:t>
      </w:r>
      <w:r w:rsidR="009E2E23">
        <w:rPr>
          <w:rFonts w:asciiTheme="minorHAnsi" w:hAnsiTheme="minorHAnsi"/>
          <w:color w:val="1C1C1B"/>
          <w:sz w:val="22"/>
          <w:szCs w:val="22"/>
        </w:rPr>
        <w:t xml:space="preserve">choose to </w:t>
      </w:r>
      <w:r w:rsidRPr="00533469">
        <w:rPr>
          <w:rFonts w:asciiTheme="minorHAnsi" w:hAnsiTheme="minorHAnsi"/>
          <w:color w:val="1C1C1B"/>
          <w:sz w:val="22"/>
          <w:szCs w:val="22"/>
        </w:rPr>
        <w:t xml:space="preserve">use investigative powers under </w:t>
      </w:r>
      <w:r w:rsidR="009E2E23">
        <w:rPr>
          <w:rFonts w:asciiTheme="minorHAnsi" w:hAnsiTheme="minorHAnsi"/>
          <w:color w:val="1C1C1B"/>
          <w:sz w:val="22"/>
          <w:szCs w:val="22"/>
        </w:rPr>
        <w:t>either the PID Act</w:t>
      </w:r>
      <w:r w:rsidR="00A2783B">
        <w:rPr>
          <w:rFonts w:asciiTheme="minorHAnsi" w:hAnsiTheme="minorHAnsi"/>
          <w:color w:val="1C1C1B"/>
          <w:sz w:val="22"/>
          <w:szCs w:val="22"/>
        </w:rPr>
        <w:t>,</w:t>
      </w:r>
      <w:r w:rsidR="009E2E23">
        <w:rPr>
          <w:rFonts w:asciiTheme="minorHAnsi" w:hAnsiTheme="minorHAnsi"/>
          <w:color w:val="1C1C1B"/>
          <w:sz w:val="22"/>
          <w:szCs w:val="22"/>
        </w:rPr>
        <w:t xml:space="preserve"> or the IGIS Act</w:t>
      </w:r>
      <w:r w:rsidR="00A2783B">
        <w:rPr>
          <w:rFonts w:asciiTheme="minorHAnsi" w:hAnsiTheme="minorHAnsi"/>
          <w:color w:val="1C1C1B"/>
          <w:sz w:val="22"/>
          <w:szCs w:val="22"/>
        </w:rPr>
        <w:t>,</w:t>
      </w:r>
      <w:r w:rsidR="009E2E23">
        <w:rPr>
          <w:rFonts w:asciiTheme="minorHAnsi" w:hAnsiTheme="minorHAnsi"/>
          <w:color w:val="1C1C1B"/>
          <w:sz w:val="22"/>
          <w:szCs w:val="22"/>
        </w:rPr>
        <w:t xml:space="preserve"> </w:t>
      </w:r>
      <w:r w:rsidRPr="00533469">
        <w:rPr>
          <w:rFonts w:asciiTheme="minorHAnsi" w:hAnsiTheme="minorHAnsi"/>
          <w:sz w:val="22"/>
          <w:szCs w:val="22"/>
        </w:rPr>
        <w:t xml:space="preserve">when investigating disclosures under the PID Act. </w:t>
      </w:r>
    </w:p>
    <w:p w:rsidR="00A2783B" w:rsidRDefault="00A2783B" w:rsidP="00533469">
      <w:pPr>
        <w:pStyle w:val="Heading2"/>
        <w:rPr>
          <w:color w:val="4F6228" w:themeColor="accent3" w:themeShade="80"/>
        </w:rPr>
      </w:pPr>
      <w:bookmarkStart w:id="4" w:name="_Toc442714221"/>
    </w:p>
    <w:p w:rsidR="00741A5E" w:rsidRDefault="00533469" w:rsidP="00A2783B">
      <w:pPr>
        <w:pStyle w:val="Heading2"/>
      </w:pPr>
      <w:r w:rsidRPr="00533469">
        <w:rPr>
          <w:color w:val="4F6228" w:themeColor="accent3" w:themeShade="80"/>
        </w:rPr>
        <w:t>Receiving and</w:t>
      </w:r>
      <w:r w:rsidR="00E8338E" w:rsidRPr="00533469">
        <w:rPr>
          <w:color w:val="4F6228" w:themeColor="accent3" w:themeShade="80"/>
        </w:rPr>
        <w:t xml:space="preserve"> allocating </w:t>
      </w:r>
      <w:bookmarkEnd w:id="4"/>
      <w:r w:rsidRPr="00533469">
        <w:rPr>
          <w:color w:val="4F6228" w:themeColor="accent3" w:themeShade="80"/>
        </w:rPr>
        <w:t>disclosures which relate to AIC-agencies</w:t>
      </w:r>
    </w:p>
    <w:p w:rsidR="00314448" w:rsidRDefault="003D6BCC" w:rsidP="00314448">
      <w:pPr>
        <w:pStyle w:val="BodyText"/>
        <w:tabs>
          <w:tab w:val="left" w:pos="8931"/>
          <w:tab w:val="left" w:pos="9026"/>
        </w:tabs>
        <w:ind w:left="0" w:right="95"/>
        <w:rPr>
          <w:rFonts w:asciiTheme="minorHAnsi" w:hAnsiTheme="minorHAnsi"/>
          <w:sz w:val="22"/>
          <w:szCs w:val="22"/>
        </w:rPr>
      </w:pPr>
      <w:r>
        <w:rPr>
          <w:rFonts w:asciiTheme="minorHAnsi" w:hAnsiTheme="minorHAnsi"/>
          <w:sz w:val="22"/>
          <w:szCs w:val="22"/>
        </w:rPr>
        <w:t>Under the PID Act a</w:t>
      </w:r>
      <w:r w:rsidR="00314448" w:rsidRPr="00DC5594">
        <w:rPr>
          <w:rFonts w:asciiTheme="minorHAnsi" w:hAnsiTheme="minorHAnsi"/>
          <w:sz w:val="22"/>
          <w:szCs w:val="22"/>
        </w:rPr>
        <w:t xml:space="preserve"> public official </w:t>
      </w:r>
      <w:r w:rsidR="00314448">
        <w:rPr>
          <w:rFonts w:asciiTheme="minorHAnsi" w:hAnsiTheme="minorHAnsi"/>
          <w:sz w:val="22"/>
          <w:szCs w:val="22"/>
        </w:rPr>
        <w:t>who wishes to complain about purported ‘disclosable conduct’</w:t>
      </w:r>
      <w:r w:rsidR="00314448">
        <w:rPr>
          <w:rStyle w:val="FootnoteReference"/>
          <w:rFonts w:asciiTheme="minorHAnsi" w:hAnsiTheme="minorHAnsi"/>
          <w:sz w:val="22"/>
          <w:szCs w:val="22"/>
        </w:rPr>
        <w:footnoteReference w:id="1"/>
      </w:r>
      <w:r w:rsidR="00314448">
        <w:rPr>
          <w:rFonts w:asciiTheme="minorHAnsi" w:hAnsiTheme="minorHAnsi"/>
          <w:sz w:val="22"/>
          <w:szCs w:val="22"/>
        </w:rPr>
        <w:t xml:space="preserve"> involving an intelligence agency, or which necessarily involves the communication of intelligence information, can only lawfully do so</w:t>
      </w:r>
      <w:r w:rsidR="005F1D92">
        <w:rPr>
          <w:rFonts w:asciiTheme="minorHAnsi" w:hAnsiTheme="minorHAnsi"/>
          <w:sz w:val="22"/>
          <w:szCs w:val="22"/>
        </w:rPr>
        <w:t>,</w:t>
      </w:r>
      <w:r w:rsidR="00314448">
        <w:rPr>
          <w:rFonts w:asciiTheme="minorHAnsi" w:hAnsiTheme="minorHAnsi"/>
          <w:sz w:val="22"/>
          <w:szCs w:val="22"/>
        </w:rPr>
        <w:t xml:space="preserve"> under the PID Act</w:t>
      </w:r>
      <w:r w:rsidR="005F1D92">
        <w:rPr>
          <w:rFonts w:asciiTheme="minorHAnsi" w:hAnsiTheme="minorHAnsi"/>
          <w:sz w:val="22"/>
          <w:szCs w:val="22"/>
        </w:rPr>
        <w:t>,</w:t>
      </w:r>
      <w:r w:rsidR="00314448">
        <w:rPr>
          <w:rFonts w:asciiTheme="minorHAnsi" w:hAnsiTheme="minorHAnsi"/>
          <w:sz w:val="22"/>
          <w:szCs w:val="22"/>
        </w:rPr>
        <w:t xml:space="preserve"> by making an internal disclosure to a</w:t>
      </w:r>
      <w:r w:rsidR="00A2783B">
        <w:rPr>
          <w:rFonts w:asciiTheme="minorHAnsi" w:hAnsiTheme="minorHAnsi"/>
          <w:sz w:val="22"/>
          <w:szCs w:val="22"/>
        </w:rPr>
        <w:t>n authorised internal recipient</w:t>
      </w:r>
      <w:r w:rsidR="00D273C7">
        <w:rPr>
          <w:rFonts w:asciiTheme="minorHAnsi" w:hAnsiTheme="minorHAnsi"/>
          <w:sz w:val="22"/>
          <w:szCs w:val="22"/>
        </w:rPr>
        <w:t>.</w:t>
      </w:r>
    </w:p>
    <w:p w:rsidR="00314448" w:rsidRDefault="00314448" w:rsidP="00314448">
      <w:pPr>
        <w:pStyle w:val="BodyText"/>
        <w:tabs>
          <w:tab w:val="left" w:pos="8931"/>
          <w:tab w:val="left" w:pos="9026"/>
        </w:tabs>
        <w:ind w:left="0" w:right="95"/>
        <w:rPr>
          <w:rFonts w:asciiTheme="minorHAnsi" w:hAnsiTheme="minorHAnsi"/>
          <w:sz w:val="22"/>
          <w:szCs w:val="22"/>
        </w:rPr>
      </w:pPr>
      <w:r>
        <w:rPr>
          <w:rFonts w:asciiTheme="minorHAnsi" w:hAnsiTheme="minorHAnsi"/>
          <w:sz w:val="22"/>
          <w:szCs w:val="22"/>
        </w:rPr>
        <w:t>While a supervisor of the public official, or an authorised officer in the AIC</w:t>
      </w:r>
      <w:r w:rsidR="003D6BCC">
        <w:rPr>
          <w:rFonts w:asciiTheme="minorHAnsi" w:hAnsiTheme="minorHAnsi"/>
          <w:sz w:val="22"/>
          <w:szCs w:val="22"/>
        </w:rPr>
        <w:t xml:space="preserve"> </w:t>
      </w:r>
      <w:r>
        <w:rPr>
          <w:rFonts w:asciiTheme="minorHAnsi" w:hAnsiTheme="minorHAnsi"/>
          <w:sz w:val="22"/>
          <w:szCs w:val="22"/>
        </w:rPr>
        <w:t xml:space="preserve">agency where the public official currently </w:t>
      </w:r>
      <w:r w:rsidR="003D6BCC">
        <w:rPr>
          <w:rFonts w:asciiTheme="minorHAnsi" w:hAnsiTheme="minorHAnsi"/>
          <w:sz w:val="22"/>
          <w:szCs w:val="22"/>
        </w:rPr>
        <w:t>is employed</w:t>
      </w:r>
      <w:r>
        <w:rPr>
          <w:rFonts w:asciiTheme="minorHAnsi" w:hAnsiTheme="minorHAnsi"/>
          <w:sz w:val="22"/>
          <w:szCs w:val="22"/>
        </w:rPr>
        <w:t xml:space="preserve">, or has previously worked, can receive disclosures of this kind, there will be situations where an individual with </w:t>
      </w:r>
      <w:r w:rsidR="003D6BCC">
        <w:rPr>
          <w:rFonts w:asciiTheme="minorHAnsi" w:hAnsiTheme="minorHAnsi"/>
          <w:sz w:val="22"/>
          <w:szCs w:val="22"/>
        </w:rPr>
        <w:t xml:space="preserve">such </w:t>
      </w:r>
      <w:r>
        <w:rPr>
          <w:rFonts w:asciiTheme="minorHAnsi" w:hAnsiTheme="minorHAnsi"/>
          <w:sz w:val="22"/>
          <w:szCs w:val="22"/>
        </w:rPr>
        <w:t>information would prefer not to approach an AIC</w:t>
      </w:r>
      <w:r w:rsidR="003D6BCC">
        <w:rPr>
          <w:rFonts w:asciiTheme="minorHAnsi" w:hAnsiTheme="minorHAnsi"/>
          <w:sz w:val="22"/>
          <w:szCs w:val="22"/>
        </w:rPr>
        <w:t xml:space="preserve"> </w:t>
      </w:r>
      <w:r>
        <w:rPr>
          <w:rFonts w:asciiTheme="minorHAnsi" w:hAnsiTheme="minorHAnsi"/>
          <w:sz w:val="22"/>
          <w:szCs w:val="22"/>
        </w:rPr>
        <w:t>agency directly with their concerns.</w:t>
      </w:r>
    </w:p>
    <w:p w:rsidR="00314448" w:rsidRDefault="00314448" w:rsidP="00314448">
      <w:pPr>
        <w:pStyle w:val="BodyText"/>
        <w:tabs>
          <w:tab w:val="left" w:pos="8931"/>
          <w:tab w:val="left" w:pos="9026"/>
        </w:tabs>
        <w:ind w:left="0" w:right="95"/>
        <w:rPr>
          <w:rFonts w:asciiTheme="minorHAnsi" w:hAnsiTheme="minorHAnsi"/>
          <w:sz w:val="22"/>
          <w:szCs w:val="22"/>
        </w:rPr>
      </w:pPr>
      <w:r>
        <w:rPr>
          <w:rFonts w:asciiTheme="minorHAnsi" w:hAnsiTheme="minorHAnsi"/>
          <w:sz w:val="22"/>
          <w:szCs w:val="22"/>
        </w:rPr>
        <w:t xml:space="preserve">In these circumstances a public official </w:t>
      </w:r>
      <w:r w:rsidRPr="00DC5594">
        <w:rPr>
          <w:rFonts w:asciiTheme="minorHAnsi" w:hAnsiTheme="minorHAnsi"/>
          <w:sz w:val="22"/>
          <w:szCs w:val="22"/>
        </w:rPr>
        <w:t xml:space="preserve">may make a disclosure directly to the </w:t>
      </w:r>
      <w:r>
        <w:rPr>
          <w:rFonts w:asciiTheme="minorHAnsi" w:hAnsiTheme="minorHAnsi"/>
          <w:sz w:val="22"/>
          <w:szCs w:val="22"/>
        </w:rPr>
        <w:t xml:space="preserve">IGIS </w:t>
      </w:r>
      <w:r w:rsidRPr="00DC5594">
        <w:rPr>
          <w:rFonts w:asciiTheme="minorHAnsi" w:hAnsiTheme="minorHAnsi"/>
          <w:sz w:val="22"/>
          <w:szCs w:val="22"/>
        </w:rPr>
        <w:t xml:space="preserve">about wrongdoing relating to any </w:t>
      </w:r>
      <w:r>
        <w:rPr>
          <w:rFonts w:asciiTheme="minorHAnsi" w:hAnsiTheme="minorHAnsi"/>
          <w:sz w:val="22"/>
          <w:szCs w:val="22"/>
        </w:rPr>
        <w:t xml:space="preserve">AIC </w:t>
      </w:r>
      <w:r w:rsidRPr="00DC5594">
        <w:rPr>
          <w:rFonts w:asciiTheme="minorHAnsi" w:hAnsiTheme="minorHAnsi"/>
          <w:sz w:val="22"/>
          <w:szCs w:val="22"/>
        </w:rPr>
        <w:t xml:space="preserve">agency </w:t>
      </w:r>
      <w:r w:rsidR="003D6BCC">
        <w:rPr>
          <w:rFonts w:asciiTheme="minorHAnsi" w:hAnsiTheme="minorHAnsi"/>
          <w:sz w:val="22"/>
          <w:szCs w:val="22"/>
        </w:rPr>
        <w:t xml:space="preserve">(who </w:t>
      </w:r>
      <w:r w:rsidRPr="00DC5594">
        <w:rPr>
          <w:rFonts w:asciiTheme="minorHAnsi" w:hAnsiTheme="minorHAnsi"/>
          <w:sz w:val="22"/>
          <w:szCs w:val="22"/>
        </w:rPr>
        <w:t>believe</w:t>
      </w:r>
      <w:r w:rsidR="003D6BCC">
        <w:rPr>
          <w:rFonts w:asciiTheme="minorHAnsi" w:hAnsiTheme="minorHAnsi"/>
          <w:sz w:val="22"/>
          <w:szCs w:val="22"/>
        </w:rPr>
        <w:t>s</w:t>
      </w:r>
      <w:r>
        <w:rPr>
          <w:rFonts w:asciiTheme="minorHAnsi" w:hAnsiTheme="minorHAnsi"/>
          <w:sz w:val="22"/>
          <w:szCs w:val="22"/>
        </w:rPr>
        <w:t>,</w:t>
      </w:r>
      <w:r w:rsidRPr="00DC5594">
        <w:rPr>
          <w:rFonts w:asciiTheme="minorHAnsi" w:hAnsiTheme="minorHAnsi"/>
          <w:sz w:val="22"/>
          <w:szCs w:val="22"/>
        </w:rPr>
        <w:t xml:space="preserve"> on reasonable grounds</w:t>
      </w:r>
      <w:r>
        <w:rPr>
          <w:rFonts w:asciiTheme="minorHAnsi" w:hAnsiTheme="minorHAnsi"/>
          <w:sz w:val="22"/>
          <w:szCs w:val="22"/>
        </w:rPr>
        <w:t>,</w:t>
      </w:r>
      <w:r w:rsidRPr="00DC5594">
        <w:rPr>
          <w:rFonts w:asciiTheme="minorHAnsi" w:hAnsiTheme="minorHAnsi"/>
          <w:sz w:val="22"/>
          <w:szCs w:val="22"/>
        </w:rPr>
        <w:t xml:space="preserve"> that it would be appropriate for the </w:t>
      </w:r>
      <w:r>
        <w:rPr>
          <w:rFonts w:asciiTheme="minorHAnsi" w:hAnsiTheme="minorHAnsi"/>
          <w:sz w:val="22"/>
          <w:szCs w:val="22"/>
        </w:rPr>
        <w:t xml:space="preserve">IGIS </w:t>
      </w:r>
      <w:r w:rsidRPr="00DC5594">
        <w:rPr>
          <w:rFonts w:asciiTheme="minorHAnsi" w:hAnsiTheme="minorHAnsi"/>
          <w:sz w:val="22"/>
          <w:szCs w:val="22"/>
        </w:rPr>
        <w:t>to investigate the matter</w:t>
      </w:r>
      <w:r w:rsidR="003D6BCC">
        <w:rPr>
          <w:rFonts w:asciiTheme="minorHAnsi" w:hAnsiTheme="minorHAnsi"/>
          <w:sz w:val="22"/>
          <w:szCs w:val="22"/>
        </w:rPr>
        <w:t>)</w:t>
      </w:r>
      <w:r w:rsidRPr="00DC5594">
        <w:rPr>
          <w:rFonts w:asciiTheme="minorHAnsi" w:hAnsiTheme="minorHAnsi"/>
          <w:sz w:val="22"/>
          <w:szCs w:val="22"/>
        </w:rPr>
        <w:t xml:space="preserve">. </w:t>
      </w:r>
    </w:p>
    <w:p w:rsidR="00314448" w:rsidRDefault="00314448" w:rsidP="00314448">
      <w:pPr>
        <w:pStyle w:val="BodyText"/>
        <w:tabs>
          <w:tab w:val="left" w:pos="8931"/>
          <w:tab w:val="left" w:pos="9026"/>
        </w:tabs>
        <w:ind w:left="0" w:right="95"/>
        <w:rPr>
          <w:rFonts w:asciiTheme="minorHAnsi" w:hAnsiTheme="minorHAnsi"/>
          <w:sz w:val="22"/>
          <w:szCs w:val="22"/>
        </w:rPr>
      </w:pPr>
      <w:r w:rsidRPr="00DC5594">
        <w:rPr>
          <w:rFonts w:asciiTheme="minorHAnsi" w:hAnsiTheme="minorHAnsi"/>
          <w:sz w:val="22"/>
          <w:szCs w:val="22"/>
        </w:rPr>
        <w:t xml:space="preserve">Unless special circumstances exist, the </w:t>
      </w:r>
      <w:r>
        <w:rPr>
          <w:rFonts w:asciiTheme="minorHAnsi" w:hAnsiTheme="minorHAnsi"/>
          <w:sz w:val="22"/>
          <w:szCs w:val="22"/>
        </w:rPr>
        <w:t xml:space="preserve">IGIS </w:t>
      </w:r>
      <w:r w:rsidRPr="00DC5594">
        <w:rPr>
          <w:rFonts w:asciiTheme="minorHAnsi" w:hAnsiTheme="minorHAnsi"/>
          <w:sz w:val="22"/>
          <w:szCs w:val="22"/>
        </w:rPr>
        <w:t xml:space="preserve">may allocate a disclosure from a public official to another appropriate agency for handling under the PID Act, including the agency </w:t>
      </w:r>
      <w:r w:rsidR="003D6BCC">
        <w:rPr>
          <w:rFonts w:asciiTheme="minorHAnsi" w:hAnsiTheme="minorHAnsi"/>
          <w:sz w:val="22"/>
          <w:szCs w:val="22"/>
        </w:rPr>
        <w:t xml:space="preserve">to which </w:t>
      </w:r>
      <w:r w:rsidRPr="00DC5594">
        <w:rPr>
          <w:rFonts w:asciiTheme="minorHAnsi" w:hAnsiTheme="minorHAnsi"/>
          <w:sz w:val="22"/>
          <w:szCs w:val="22"/>
        </w:rPr>
        <w:t>the disclosable conduct relates</w:t>
      </w:r>
      <w:r>
        <w:rPr>
          <w:rFonts w:asciiTheme="minorHAnsi" w:hAnsiTheme="minorHAnsi"/>
          <w:sz w:val="22"/>
          <w:szCs w:val="22"/>
        </w:rPr>
        <w:t>,</w:t>
      </w:r>
      <w:r w:rsidRPr="00DC5594">
        <w:rPr>
          <w:rFonts w:asciiTheme="minorHAnsi" w:hAnsiTheme="minorHAnsi"/>
          <w:sz w:val="22"/>
          <w:szCs w:val="22"/>
        </w:rPr>
        <w:t xml:space="preserve"> or the agency </w:t>
      </w:r>
      <w:r w:rsidR="003D6BCC">
        <w:rPr>
          <w:rFonts w:asciiTheme="minorHAnsi" w:hAnsiTheme="minorHAnsi"/>
          <w:sz w:val="22"/>
          <w:szCs w:val="22"/>
        </w:rPr>
        <w:t xml:space="preserve">where </w:t>
      </w:r>
      <w:r w:rsidRPr="00DC5594">
        <w:rPr>
          <w:rFonts w:asciiTheme="minorHAnsi" w:hAnsiTheme="minorHAnsi"/>
          <w:sz w:val="22"/>
          <w:szCs w:val="22"/>
        </w:rPr>
        <w:t xml:space="preserve">the public official </w:t>
      </w:r>
      <w:r w:rsidR="005F1D92">
        <w:rPr>
          <w:rFonts w:asciiTheme="minorHAnsi" w:hAnsiTheme="minorHAnsi"/>
          <w:sz w:val="22"/>
          <w:szCs w:val="22"/>
        </w:rPr>
        <w:t>currently works, or has worked.</w:t>
      </w:r>
      <w:r w:rsidRPr="00DC5594">
        <w:rPr>
          <w:rFonts w:asciiTheme="minorHAnsi" w:hAnsiTheme="minorHAnsi"/>
          <w:sz w:val="22"/>
          <w:szCs w:val="22"/>
        </w:rPr>
        <w:t xml:space="preserve"> </w:t>
      </w:r>
    </w:p>
    <w:p w:rsidR="00314448" w:rsidRPr="00DC5594" w:rsidRDefault="00314448" w:rsidP="00314448">
      <w:pPr>
        <w:pStyle w:val="BodyText"/>
        <w:tabs>
          <w:tab w:val="left" w:pos="8931"/>
          <w:tab w:val="left" w:pos="9026"/>
        </w:tabs>
        <w:ind w:left="0" w:right="95"/>
        <w:rPr>
          <w:rFonts w:asciiTheme="minorHAnsi" w:hAnsiTheme="minorHAnsi"/>
          <w:sz w:val="22"/>
          <w:szCs w:val="22"/>
        </w:rPr>
      </w:pPr>
      <w:r w:rsidRPr="00DC5594">
        <w:rPr>
          <w:rFonts w:asciiTheme="minorHAnsi" w:hAnsiTheme="minorHAnsi"/>
          <w:sz w:val="22"/>
          <w:szCs w:val="22"/>
        </w:rPr>
        <w:t>This is consistent with a key principle under the PID scheme that an agency should handle disclosures internally and that disclosers should be protected from reprisals.</w:t>
      </w:r>
    </w:p>
    <w:p w:rsidR="00314448" w:rsidRPr="000E4516" w:rsidRDefault="00314448" w:rsidP="00314448">
      <w:pPr>
        <w:pStyle w:val="Heading2"/>
      </w:pPr>
      <w:bookmarkStart w:id="5" w:name="_Toc442714214"/>
      <w:r w:rsidRPr="00AD44C8">
        <w:rPr>
          <w:color w:val="4F6228" w:themeColor="accent3" w:themeShade="80"/>
        </w:rPr>
        <w:t xml:space="preserve">When will the </w:t>
      </w:r>
      <w:r>
        <w:rPr>
          <w:color w:val="4F6228" w:themeColor="accent3" w:themeShade="80"/>
        </w:rPr>
        <w:t>IGIS</w:t>
      </w:r>
      <w:r w:rsidRPr="00AD44C8">
        <w:rPr>
          <w:color w:val="4F6228" w:themeColor="accent3" w:themeShade="80"/>
        </w:rPr>
        <w:t xml:space="preserve"> investigate a disclosure?</w:t>
      </w:r>
      <w:bookmarkEnd w:id="5"/>
    </w:p>
    <w:p w:rsidR="00314448" w:rsidRPr="00AD44C8" w:rsidRDefault="00314448" w:rsidP="00314448">
      <w:pPr>
        <w:pStyle w:val="BodyText"/>
        <w:tabs>
          <w:tab w:val="left" w:pos="8931"/>
        </w:tabs>
        <w:ind w:left="0" w:right="95"/>
        <w:rPr>
          <w:rFonts w:asciiTheme="minorHAnsi" w:hAnsiTheme="minorHAnsi"/>
          <w:sz w:val="22"/>
          <w:szCs w:val="22"/>
        </w:rPr>
      </w:pPr>
      <w:r w:rsidRPr="00AD44C8">
        <w:rPr>
          <w:rFonts w:asciiTheme="minorHAnsi" w:hAnsiTheme="minorHAnsi"/>
          <w:sz w:val="22"/>
          <w:szCs w:val="22"/>
        </w:rPr>
        <w:t xml:space="preserve">The IGIS may decide to investigate an </w:t>
      </w:r>
      <w:r>
        <w:rPr>
          <w:rFonts w:asciiTheme="minorHAnsi" w:hAnsiTheme="minorHAnsi"/>
          <w:sz w:val="22"/>
          <w:szCs w:val="22"/>
        </w:rPr>
        <w:t xml:space="preserve">authorised </w:t>
      </w:r>
      <w:r w:rsidRPr="00AD44C8">
        <w:rPr>
          <w:rFonts w:asciiTheme="minorHAnsi" w:hAnsiTheme="minorHAnsi"/>
          <w:sz w:val="22"/>
          <w:szCs w:val="22"/>
        </w:rPr>
        <w:t xml:space="preserve">internal disclosure about an agency that is made to an authorised officer in </w:t>
      </w:r>
      <w:r>
        <w:rPr>
          <w:rFonts w:asciiTheme="minorHAnsi" w:hAnsiTheme="minorHAnsi"/>
          <w:sz w:val="22"/>
          <w:szCs w:val="22"/>
        </w:rPr>
        <w:t xml:space="preserve">OIGIS </w:t>
      </w:r>
      <w:r w:rsidRPr="00AD44C8">
        <w:rPr>
          <w:rFonts w:asciiTheme="minorHAnsi" w:hAnsiTheme="minorHAnsi"/>
          <w:sz w:val="22"/>
          <w:szCs w:val="22"/>
        </w:rPr>
        <w:t xml:space="preserve">or allocated (with consent) to the </w:t>
      </w:r>
      <w:r>
        <w:rPr>
          <w:rFonts w:asciiTheme="minorHAnsi" w:hAnsiTheme="minorHAnsi"/>
          <w:sz w:val="22"/>
          <w:szCs w:val="22"/>
        </w:rPr>
        <w:t>IGIS</w:t>
      </w:r>
      <w:r w:rsidRPr="00AD44C8">
        <w:rPr>
          <w:rFonts w:asciiTheme="minorHAnsi" w:hAnsiTheme="minorHAnsi"/>
          <w:sz w:val="22"/>
          <w:szCs w:val="22"/>
        </w:rPr>
        <w:t xml:space="preserve"> by another agency.</w:t>
      </w:r>
    </w:p>
    <w:p w:rsidR="00314448" w:rsidRDefault="00314448" w:rsidP="00314448">
      <w:pPr>
        <w:pStyle w:val="BodyText"/>
        <w:tabs>
          <w:tab w:val="left" w:pos="8931"/>
        </w:tabs>
        <w:ind w:left="0" w:right="95"/>
        <w:rPr>
          <w:rFonts w:asciiTheme="minorHAnsi" w:hAnsiTheme="minorHAnsi"/>
          <w:sz w:val="22"/>
          <w:szCs w:val="22"/>
        </w:rPr>
      </w:pPr>
      <w:r w:rsidRPr="00AD44C8">
        <w:rPr>
          <w:rFonts w:asciiTheme="minorHAnsi" w:hAnsiTheme="minorHAnsi"/>
          <w:sz w:val="22"/>
          <w:szCs w:val="22"/>
        </w:rPr>
        <w:t xml:space="preserve">The </w:t>
      </w:r>
      <w:r>
        <w:rPr>
          <w:rFonts w:asciiTheme="minorHAnsi" w:hAnsiTheme="minorHAnsi"/>
          <w:sz w:val="22"/>
          <w:szCs w:val="22"/>
        </w:rPr>
        <w:t xml:space="preserve">IGIS </w:t>
      </w:r>
      <w:r w:rsidRPr="00AD44C8">
        <w:rPr>
          <w:rFonts w:asciiTheme="minorHAnsi" w:hAnsiTheme="minorHAnsi"/>
          <w:sz w:val="22"/>
          <w:szCs w:val="22"/>
        </w:rPr>
        <w:t xml:space="preserve">will consider whether special reasons exist to conduct an investigation, or allocate the matter to the agency where the disclosable conduct is alleged to have occurred. </w:t>
      </w:r>
    </w:p>
    <w:p w:rsidR="00314448" w:rsidRDefault="00314448" w:rsidP="00314448">
      <w:pPr>
        <w:pStyle w:val="BodyText"/>
        <w:tabs>
          <w:tab w:val="left" w:pos="8931"/>
        </w:tabs>
        <w:ind w:left="0" w:right="95"/>
        <w:rPr>
          <w:rFonts w:asciiTheme="minorHAnsi" w:hAnsiTheme="minorHAnsi"/>
          <w:sz w:val="22"/>
          <w:szCs w:val="22"/>
        </w:rPr>
      </w:pPr>
      <w:r w:rsidRPr="00AD44C8">
        <w:rPr>
          <w:rFonts w:asciiTheme="minorHAnsi" w:hAnsiTheme="minorHAnsi"/>
          <w:sz w:val="22"/>
          <w:szCs w:val="22"/>
        </w:rPr>
        <w:t xml:space="preserve">If the </w:t>
      </w:r>
      <w:r>
        <w:rPr>
          <w:rFonts w:asciiTheme="minorHAnsi" w:hAnsiTheme="minorHAnsi"/>
          <w:sz w:val="22"/>
          <w:szCs w:val="22"/>
        </w:rPr>
        <w:t xml:space="preserve">IGIS </w:t>
      </w:r>
      <w:r w:rsidRPr="00AD44C8">
        <w:rPr>
          <w:rFonts w:asciiTheme="minorHAnsi" w:hAnsiTheme="minorHAnsi"/>
          <w:sz w:val="22"/>
          <w:szCs w:val="22"/>
        </w:rPr>
        <w:t xml:space="preserve">does decide to investigate a disclosure, the investigative powers under the </w:t>
      </w:r>
      <w:r>
        <w:rPr>
          <w:rFonts w:asciiTheme="minorHAnsi" w:hAnsiTheme="minorHAnsi"/>
          <w:sz w:val="22"/>
          <w:szCs w:val="22"/>
        </w:rPr>
        <w:t xml:space="preserve">IGIS Act </w:t>
      </w:r>
      <w:r w:rsidRPr="00AD44C8">
        <w:rPr>
          <w:rFonts w:asciiTheme="minorHAnsi" w:hAnsiTheme="minorHAnsi"/>
          <w:sz w:val="22"/>
          <w:szCs w:val="22"/>
        </w:rPr>
        <w:t>will generally be used rather than the powers under the PID Act.</w:t>
      </w:r>
      <w:bookmarkStart w:id="6" w:name="Making_decisions_about_extensions_of_tim"/>
      <w:bookmarkStart w:id="7" w:name="Providing_assistance,_education_and_awar"/>
      <w:bookmarkStart w:id="8" w:name="Preparing_annual_reports"/>
      <w:bookmarkStart w:id="9" w:name="Assisting_the_Ombudsman_"/>
      <w:bookmarkEnd w:id="6"/>
      <w:bookmarkEnd w:id="7"/>
      <w:bookmarkEnd w:id="8"/>
      <w:bookmarkEnd w:id="9"/>
    </w:p>
    <w:p w:rsidR="00314448" w:rsidRPr="000E4516" w:rsidRDefault="00314448" w:rsidP="00314448">
      <w:pPr>
        <w:pStyle w:val="BodyText"/>
        <w:tabs>
          <w:tab w:val="left" w:pos="8931"/>
        </w:tabs>
        <w:ind w:left="0" w:right="95"/>
      </w:pPr>
      <w:r w:rsidRPr="00AD44C8">
        <w:rPr>
          <w:rFonts w:asciiTheme="minorHAnsi" w:hAnsiTheme="minorHAnsi"/>
          <w:sz w:val="22"/>
          <w:szCs w:val="22"/>
        </w:rPr>
        <w:t xml:space="preserve">When investigating a disclosure the </w:t>
      </w:r>
      <w:r>
        <w:rPr>
          <w:rFonts w:asciiTheme="minorHAnsi" w:hAnsiTheme="minorHAnsi"/>
          <w:sz w:val="22"/>
          <w:szCs w:val="22"/>
        </w:rPr>
        <w:t xml:space="preserve">IGIS </w:t>
      </w:r>
      <w:r w:rsidRPr="00AD44C8">
        <w:rPr>
          <w:rFonts w:asciiTheme="minorHAnsi" w:hAnsiTheme="minorHAnsi"/>
          <w:sz w:val="22"/>
          <w:szCs w:val="22"/>
        </w:rPr>
        <w:t xml:space="preserve">may, where appropriate, use the </w:t>
      </w:r>
      <w:r w:rsidR="005F1D92">
        <w:rPr>
          <w:rFonts w:asciiTheme="minorHAnsi" w:hAnsiTheme="minorHAnsi"/>
          <w:sz w:val="22"/>
          <w:szCs w:val="22"/>
        </w:rPr>
        <w:t>full suite of i</w:t>
      </w:r>
      <w:r w:rsidRPr="00AD44C8">
        <w:rPr>
          <w:rFonts w:asciiTheme="minorHAnsi" w:hAnsiTheme="minorHAnsi"/>
          <w:sz w:val="22"/>
          <w:szCs w:val="22"/>
        </w:rPr>
        <w:t xml:space="preserve">nvestigative </w:t>
      </w:r>
      <w:r w:rsidR="005F1D92">
        <w:rPr>
          <w:rFonts w:asciiTheme="minorHAnsi" w:hAnsiTheme="minorHAnsi"/>
          <w:sz w:val="22"/>
          <w:szCs w:val="22"/>
        </w:rPr>
        <w:t xml:space="preserve">powers provided </w:t>
      </w:r>
      <w:r>
        <w:rPr>
          <w:rFonts w:asciiTheme="minorHAnsi" w:hAnsiTheme="minorHAnsi"/>
          <w:sz w:val="22"/>
          <w:szCs w:val="22"/>
        </w:rPr>
        <w:t xml:space="preserve">under the </w:t>
      </w:r>
      <w:r>
        <w:rPr>
          <w:rFonts w:asciiTheme="minorHAnsi" w:hAnsiTheme="minorHAnsi"/>
          <w:i/>
          <w:sz w:val="22"/>
          <w:szCs w:val="22"/>
        </w:rPr>
        <w:t>Inspector-General of Intelligence and Security Act 1986</w:t>
      </w:r>
      <w:r w:rsidRPr="00AD44C8">
        <w:rPr>
          <w:rFonts w:asciiTheme="minorHAnsi" w:hAnsiTheme="minorHAnsi"/>
          <w:sz w:val="22"/>
          <w:szCs w:val="22"/>
        </w:rPr>
        <w:t>. The</w:t>
      </w:r>
      <w:r>
        <w:rPr>
          <w:rFonts w:asciiTheme="minorHAnsi" w:hAnsiTheme="minorHAnsi"/>
          <w:sz w:val="22"/>
          <w:szCs w:val="22"/>
        </w:rPr>
        <w:t>se</w:t>
      </w:r>
      <w:r w:rsidRPr="00AD44C8">
        <w:rPr>
          <w:rFonts w:asciiTheme="minorHAnsi" w:hAnsiTheme="minorHAnsi"/>
          <w:sz w:val="22"/>
          <w:szCs w:val="22"/>
        </w:rPr>
        <w:t xml:space="preserve"> powers include </w:t>
      </w:r>
      <w:r w:rsidR="005F1D92">
        <w:rPr>
          <w:rFonts w:asciiTheme="minorHAnsi" w:hAnsiTheme="minorHAnsi"/>
          <w:sz w:val="22"/>
          <w:szCs w:val="22"/>
        </w:rPr>
        <w:t xml:space="preserve">but are not limited to, </w:t>
      </w:r>
      <w:r w:rsidRPr="00AD44C8">
        <w:rPr>
          <w:rFonts w:asciiTheme="minorHAnsi" w:hAnsiTheme="minorHAnsi"/>
          <w:sz w:val="22"/>
          <w:szCs w:val="22"/>
        </w:rPr>
        <w:t xml:space="preserve">requiring the production of documents or other written records, visiting </w:t>
      </w:r>
      <w:r>
        <w:rPr>
          <w:rFonts w:asciiTheme="minorHAnsi" w:hAnsiTheme="minorHAnsi"/>
          <w:sz w:val="22"/>
          <w:szCs w:val="22"/>
        </w:rPr>
        <w:t>AIC</w:t>
      </w:r>
      <w:r w:rsidR="003D6BCC">
        <w:rPr>
          <w:rFonts w:asciiTheme="minorHAnsi" w:hAnsiTheme="minorHAnsi"/>
          <w:sz w:val="22"/>
          <w:szCs w:val="22"/>
        </w:rPr>
        <w:t xml:space="preserve"> </w:t>
      </w:r>
      <w:r>
        <w:rPr>
          <w:rFonts w:asciiTheme="minorHAnsi" w:hAnsiTheme="minorHAnsi"/>
          <w:sz w:val="22"/>
          <w:szCs w:val="22"/>
        </w:rPr>
        <w:t xml:space="preserve">agency </w:t>
      </w:r>
      <w:r w:rsidRPr="00AD44C8">
        <w:rPr>
          <w:rFonts w:asciiTheme="minorHAnsi" w:hAnsiTheme="minorHAnsi"/>
          <w:sz w:val="22"/>
          <w:szCs w:val="22"/>
        </w:rPr>
        <w:t>premises and inspecting documents</w:t>
      </w:r>
      <w:r>
        <w:rPr>
          <w:rFonts w:asciiTheme="minorHAnsi" w:hAnsiTheme="minorHAnsi"/>
          <w:sz w:val="22"/>
          <w:szCs w:val="22"/>
        </w:rPr>
        <w:t>,</w:t>
      </w:r>
      <w:r w:rsidRPr="00AD44C8">
        <w:rPr>
          <w:rFonts w:asciiTheme="minorHAnsi" w:hAnsiTheme="minorHAnsi"/>
          <w:sz w:val="22"/>
          <w:szCs w:val="22"/>
        </w:rPr>
        <w:t xml:space="preserve"> examining w</w:t>
      </w:r>
      <w:r>
        <w:rPr>
          <w:rFonts w:asciiTheme="minorHAnsi" w:hAnsiTheme="minorHAnsi"/>
          <w:sz w:val="22"/>
          <w:szCs w:val="22"/>
        </w:rPr>
        <w:t xml:space="preserve">itnesses on oath or affirmation, and </w:t>
      </w:r>
      <w:r w:rsidRPr="00AD44C8">
        <w:rPr>
          <w:rFonts w:asciiTheme="minorHAnsi" w:hAnsiTheme="minorHAnsi"/>
          <w:sz w:val="22"/>
          <w:szCs w:val="22"/>
        </w:rPr>
        <w:t>req</w:t>
      </w:r>
      <w:r w:rsidR="005F1D92">
        <w:rPr>
          <w:rFonts w:asciiTheme="minorHAnsi" w:hAnsiTheme="minorHAnsi"/>
          <w:sz w:val="22"/>
          <w:szCs w:val="22"/>
        </w:rPr>
        <w:t xml:space="preserve">uiring questions to be answered truthfully </w:t>
      </w:r>
      <w:r>
        <w:rPr>
          <w:rFonts w:asciiTheme="minorHAnsi" w:hAnsiTheme="minorHAnsi"/>
          <w:sz w:val="22"/>
          <w:szCs w:val="22"/>
        </w:rPr>
        <w:t>or risk criminal sanctions.</w:t>
      </w:r>
    </w:p>
    <w:p w:rsidR="00314448" w:rsidRPr="000E4516" w:rsidRDefault="00314448" w:rsidP="00314448">
      <w:pPr>
        <w:pStyle w:val="Heading2"/>
      </w:pPr>
      <w:bookmarkStart w:id="10" w:name="_Toc442714215"/>
      <w:r w:rsidRPr="008A2006">
        <w:rPr>
          <w:color w:val="4F6228" w:themeColor="accent3" w:themeShade="80"/>
        </w:rPr>
        <w:t>Making decisions about extensions of time</w:t>
      </w:r>
      <w:bookmarkEnd w:id="10"/>
    </w:p>
    <w:p w:rsidR="00314448" w:rsidRDefault="00314448" w:rsidP="00314448">
      <w:pPr>
        <w:pStyle w:val="BodyText"/>
        <w:ind w:left="0" w:right="-46"/>
        <w:rPr>
          <w:rFonts w:asciiTheme="minorHAnsi" w:hAnsiTheme="minorHAnsi"/>
          <w:sz w:val="22"/>
          <w:szCs w:val="22"/>
        </w:rPr>
      </w:pPr>
      <w:r>
        <w:rPr>
          <w:rFonts w:asciiTheme="minorHAnsi" w:hAnsiTheme="minorHAnsi"/>
          <w:sz w:val="22"/>
          <w:szCs w:val="22"/>
        </w:rPr>
        <w:t xml:space="preserve">Under the PID Act, Commonwealth entities </w:t>
      </w:r>
      <w:r w:rsidRPr="008A2006">
        <w:rPr>
          <w:rFonts w:asciiTheme="minorHAnsi" w:hAnsiTheme="minorHAnsi"/>
          <w:sz w:val="22"/>
          <w:szCs w:val="22"/>
        </w:rPr>
        <w:t xml:space="preserve">have 90 days to complete their investigation of a public interest disclosure, including preparing </w:t>
      </w:r>
      <w:r>
        <w:rPr>
          <w:rFonts w:asciiTheme="minorHAnsi" w:hAnsiTheme="minorHAnsi"/>
          <w:sz w:val="22"/>
          <w:szCs w:val="22"/>
        </w:rPr>
        <w:t xml:space="preserve">and finalising </w:t>
      </w:r>
      <w:r w:rsidRPr="008A2006">
        <w:rPr>
          <w:rFonts w:asciiTheme="minorHAnsi" w:hAnsiTheme="minorHAnsi"/>
          <w:sz w:val="22"/>
          <w:szCs w:val="22"/>
        </w:rPr>
        <w:t xml:space="preserve">the investigation report. </w:t>
      </w:r>
    </w:p>
    <w:p w:rsidR="00314448" w:rsidRDefault="00314448" w:rsidP="00314448">
      <w:pPr>
        <w:pStyle w:val="BodyText"/>
        <w:ind w:left="0" w:right="-46"/>
        <w:rPr>
          <w:rFonts w:asciiTheme="minorHAnsi" w:hAnsiTheme="minorHAnsi"/>
          <w:sz w:val="22"/>
          <w:szCs w:val="22"/>
        </w:rPr>
      </w:pPr>
      <w:r w:rsidRPr="008A2006">
        <w:rPr>
          <w:rFonts w:asciiTheme="minorHAnsi" w:hAnsiTheme="minorHAnsi"/>
          <w:sz w:val="22"/>
          <w:szCs w:val="22"/>
        </w:rPr>
        <w:t xml:space="preserve">The </w:t>
      </w:r>
      <w:r>
        <w:rPr>
          <w:rFonts w:asciiTheme="minorHAnsi" w:hAnsiTheme="minorHAnsi"/>
          <w:sz w:val="22"/>
          <w:szCs w:val="22"/>
        </w:rPr>
        <w:t xml:space="preserve">IGIS </w:t>
      </w:r>
      <w:r w:rsidRPr="008A2006">
        <w:rPr>
          <w:rFonts w:asciiTheme="minorHAnsi" w:hAnsiTheme="minorHAnsi"/>
          <w:sz w:val="22"/>
          <w:szCs w:val="22"/>
        </w:rPr>
        <w:t xml:space="preserve">can grant extensions of time </w:t>
      </w:r>
      <w:r>
        <w:rPr>
          <w:rFonts w:asciiTheme="minorHAnsi" w:hAnsiTheme="minorHAnsi"/>
          <w:sz w:val="22"/>
          <w:szCs w:val="22"/>
        </w:rPr>
        <w:t>to an AIC</w:t>
      </w:r>
      <w:r w:rsidR="003D6BCC">
        <w:rPr>
          <w:rFonts w:asciiTheme="minorHAnsi" w:hAnsiTheme="minorHAnsi"/>
          <w:sz w:val="22"/>
          <w:szCs w:val="22"/>
        </w:rPr>
        <w:t xml:space="preserve"> </w:t>
      </w:r>
      <w:r>
        <w:rPr>
          <w:rFonts w:asciiTheme="minorHAnsi" w:hAnsiTheme="minorHAnsi"/>
          <w:sz w:val="22"/>
          <w:szCs w:val="22"/>
        </w:rPr>
        <w:t xml:space="preserve">agency </w:t>
      </w:r>
      <w:r w:rsidRPr="008A2006">
        <w:rPr>
          <w:rFonts w:asciiTheme="minorHAnsi" w:hAnsiTheme="minorHAnsi"/>
          <w:sz w:val="22"/>
          <w:szCs w:val="22"/>
        </w:rPr>
        <w:t>either on request from a discloser or age</w:t>
      </w:r>
      <w:r>
        <w:rPr>
          <w:rFonts w:asciiTheme="minorHAnsi" w:hAnsiTheme="minorHAnsi"/>
          <w:sz w:val="22"/>
          <w:szCs w:val="22"/>
        </w:rPr>
        <w:t>ncy, or, alternatively, on IGIS’s</w:t>
      </w:r>
      <w:r w:rsidRPr="008A2006">
        <w:rPr>
          <w:rFonts w:asciiTheme="minorHAnsi" w:hAnsiTheme="minorHAnsi"/>
          <w:sz w:val="22"/>
          <w:szCs w:val="22"/>
        </w:rPr>
        <w:t xml:space="preserve"> own initiative. </w:t>
      </w:r>
    </w:p>
    <w:p w:rsidR="005F1D92" w:rsidRDefault="005F1D92" w:rsidP="00314448">
      <w:pPr>
        <w:pStyle w:val="BodyText"/>
        <w:ind w:left="0" w:right="-46"/>
        <w:rPr>
          <w:rFonts w:asciiTheme="minorHAnsi" w:hAnsiTheme="minorHAnsi"/>
          <w:sz w:val="22"/>
          <w:szCs w:val="22"/>
        </w:rPr>
      </w:pPr>
    </w:p>
    <w:p w:rsidR="005F1D92" w:rsidRPr="008A2006" w:rsidRDefault="005F1D92" w:rsidP="00314448">
      <w:pPr>
        <w:pStyle w:val="BodyText"/>
        <w:ind w:left="0" w:right="-46"/>
        <w:rPr>
          <w:rFonts w:asciiTheme="minorHAnsi" w:hAnsiTheme="minorHAnsi"/>
          <w:sz w:val="22"/>
          <w:szCs w:val="22"/>
        </w:rPr>
      </w:pPr>
    </w:p>
    <w:p w:rsidR="00314448" w:rsidRDefault="00314448" w:rsidP="00314448">
      <w:pPr>
        <w:pStyle w:val="BodyText"/>
        <w:ind w:left="0" w:right="-46"/>
        <w:rPr>
          <w:rFonts w:asciiTheme="minorHAnsi" w:hAnsiTheme="minorHAnsi"/>
          <w:sz w:val="22"/>
          <w:szCs w:val="22"/>
        </w:rPr>
      </w:pPr>
      <w:r w:rsidRPr="008A2006">
        <w:rPr>
          <w:rFonts w:asciiTheme="minorHAnsi" w:hAnsiTheme="minorHAnsi"/>
          <w:sz w:val="22"/>
          <w:szCs w:val="22"/>
        </w:rPr>
        <w:t xml:space="preserve">The </w:t>
      </w:r>
      <w:r>
        <w:rPr>
          <w:rFonts w:asciiTheme="minorHAnsi" w:hAnsiTheme="minorHAnsi"/>
          <w:sz w:val="22"/>
          <w:szCs w:val="22"/>
        </w:rPr>
        <w:t xml:space="preserve">IGIS </w:t>
      </w:r>
      <w:r w:rsidRPr="008A2006">
        <w:rPr>
          <w:rFonts w:asciiTheme="minorHAnsi" w:hAnsiTheme="minorHAnsi"/>
          <w:sz w:val="22"/>
          <w:szCs w:val="22"/>
        </w:rPr>
        <w:t xml:space="preserve">will not automatically grant an application for an extension. Each request is separately considered to determine if the additional time requested is reasonably necessary to ensure that the disclosure is properly investigated. </w:t>
      </w:r>
    </w:p>
    <w:p w:rsidR="00314448" w:rsidRPr="008A2006" w:rsidRDefault="00314448" w:rsidP="00314448">
      <w:pPr>
        <w:pStyle w:val="BodyText"/>
        <w:ind w:left="0" w:right="-46"/>
        <w:rPr>
          <w:rFonts w:asciiTheme="minorHAnsi" w:hAnsiTheme="minorHAnsi"/>
          <w:sz w:val="22"/>
          <w:szCs w:val="22"/>
        </w:rPr>
      </w:pPr>
      <w:r w:rsidRPr="008A2006">
        <w:rPr>
          <w:rFonts w:asciiTheme="minorHAnsi" w:hAnsiTheme="minorHAnsi"/>
          <w:sz w:val="22"/>
          <w:szCs w:val="22"/>
        </w:rPr>
        <w:t xml:space="preserve">The </w:t>
      </w:r>
      <w:r>
        <w:rPr>
          <w:rFonts w:asciiTheme="minorHAnsi" w:hAnsiTheme="minorHAnsi"/>
          <w:sz w:val="22"/>
          <w:szCs w:val="22"/>
        </w:rPr>
        <w:t>IGIS</w:t>
      </w:r>
      <w:r w:rsidRPr="008A2006">
        <w:rPr>
          <w:rFonts w:asciiTheme="minorHAnsi" w:hAnsiTheme="minorHAnsi"/>
          <w:sz w:val="22"/>
          <w:szCs w:val="22"/>
        </w:rPr>
        <w:t xml:space="preserve"> will also take into account a range of other factors including</w:t>
      </w:r>
      <w:r w:rsidR="003D6BCC">
        <w:rPr>
          <w:rFonts w:asciiTheme="minorHAnsi" w:hAnsiTheme="minorHAnsi"/>
          <w:sz w:val="22"/>
          <w:szCs w:val="22"/>
        </w:rPr>
        <w:t>:</w:t>
      </w:r>
      <w:r w:rsidRPr="008A2006">
        <w:rPr>
          <w:rFonts w:asciiTheme="minorHAnsi" w:hAnsiTheme="minorHAnsi"/>
          <w:sz w:val="22"/>
          <w:szCs w:val="22"/>
        </w:rPr>
        <w:t xml:space="preserve"> the availability of witnesses; the complexity of the investigation; the action already taken to progress it; and whether there have been any unreasonable or unexplained delays on the part of the agency. The </w:t>
      </w:r>
      <w:r>
        <w:rPr>
          <w:rFonts w:asciiTheme="minorHAnsi" w:hAnsiTheme="minorHAnsi"/>
          <w:sz w:val="22"/>
          <w:szCs w:val="22"/>
        </w:rPr>
        <w:t>IGIS</w:t>
      </w:r>
      <w:r w:rsidRPr="008A2006">
        <w:rPr>
          <w:rFonts w:asciiTheme="minorHAnsi" w:hAnsiTheme="minorHAnsi"/>
          <w:sz w:val="22"/>
          <w:szCs w:val="22"/>
        </w:rPr>
        <w:t xml:space="preserve"> will also take into account any views expressed by the discloser about the requested extension. </w:t>
      </w:r>
    </w:p>
    <w:p w:rsidR="00314448" w:rsidRDefault="00314448" w:rsidP="00314448">
      <w:pPr>
        <w:pStyle w:val="BodyText"/>
        <w:ind w:left="0" w:right="-46"/>
        <w:rPr>
          <w:rFonts w:asciiTheme="minorHAnsi" w:hAnsiTheme="minorHAnsi"/>
          <w:sz w:val="22"/>
          <w:szCs w:val="22"/>
        </w:rPr>
      </w:pPr>
      <w:r w:rsidRPr="008A2006">
        <w:rPr>
          <w:rFonts w:asciiTheme="minorHAnsi" w:hAnsiTheme="minorHAnsi"/>
          <w:sz w:val="22"/>
          <w:szCs w:val="22"/>
        </w:rPr>
        <w:t>If an extension is granted, the IGIS will inform the discloser and give reasons for the extension (</w:t>
      </w:r>
      <w:r>
        <w:rPr>
          <w:rFonts w:asciiTheme="minorHAnsi" w:hAnsiTheme="minorHAnsi"/>
          <w:sz w:val="22"/>
          <w:szCs w:val="22"/>
        </w:rPr>
        <w:t>to the extent that this is consistent with any overriding security requirements)</w:t>
      </w:r>
      <w:r w:rsidRPr="008A2006">
        <w:rPr>
          <w:rFonts w:asciiTheme="minorHAnsi" w:hAnsiTheme="minorHAnsi"/>
          <w:sz w:val="22"/>
          <w:szCs w:val="22"/>
        </w:rPr>
        <w:t>. This does not apply if contacting the discloser i</w:t>
      </w:r>
      <w:r w:rsidR="005F1D92">
        <w:rPr>
          <w:rFonts w:asciiTheme="minorHAnsi" w:hAnsiTheme="minorHAnsi"/>
          <w:sz w:val="22"/>
          <w:szCs w:val="22"/>
        </w:rPr>
        <w:t xml:space="preserve">s not reasonably practicable. </w:t>
      </w:r>
    </w:p>
    <w:p w:rsidR="00314448" w:rsidRPr="000E4516" w:rsidRDefault="00314448" w:rsidP="00314448">
      <w:pPr>
        <w:pStyle w:val="BodyText"/>
        <w:ind w:left="0" w:right="-46"/>
      </w:pPr>
      <w:r w:rsidRPr="008A2006">
        <w:rPr>
          <w:rFonts w:asciiTheme="minorHAnsi" w:hAnsiTheme="minorHAnsi"/>
          <w:sz w:val="22"/>
          <w:szCs w:val="22"/>
        </w:rPr>
        <w:t xml:space="preserve">If an extension is not granted, the agency is still required to complete the investigation and prepare a report. However, if that is not completed before the relevant time limit (i.e. </w:t>
      </w:r>
      <w:r w:rsidR="00C03F07">
        <w:rPr>
          <w:rFonts w:asciiTheme="minorHAnsi" w:hAnsiTheme="minorHAnsi"/>
          <w:sz w:val="22"/>
          <w:szCs w:val="22"/>
        </w:rPr>
        <w:t xml:space="preserve">90 days, or such longer period </w:t>
      </w:r>
      <w:r w:rsidRPr="008A2006">
        <w:rPr>
          <w:rFonts w:asciiTheme="minorHAnsi" w:hAnsiTheme="minorHAnsi"/>
          <w:sz w:val="22"/>
          <w:szCs w:val="22"/>
        </w:rPr>
        <w:t>as previously granted by the IGIS) the discloser may be entitled to make a</w:t>
      </w:r>
      <w:r>
        <w:rPr>
          <w:rFonts w:asciiTheme="minorHAnsi" w:hAnsiTheme="minorHAnsi"/>
          <w:sz w:val="22"/>
          <w:szCs w:val="22"/>
        </w:rPr>
        <w:t xml:space="preserve"> limited </w:t>
      </w:r>
      <w:r w:rsidRPr="008A2006">
        <w:rPr>
          <w:rFonts w:asciiTheme="minorHAnsi" w:hAnsiTheme="minorHAnsi"/>
          <w:sz w:val="22"/>
          <w:szCs w:val="22"/>
        </w:rPr>
        <w:t>external disclosure under the PID Act.</w:t>
      </w:r>
    </w:p>
    <w:p w:rsidR="00314448" w:rsidRPr="000E4516" w:rsidRDefault="00314448" w:rsidP="00314448">
      <w:pPr>
        <w:pStyle w:val="Heading2"/>
      </w:pPr>
      <w:bookmarkStart w:id="11" w:name="Investigations_under_the_Ombudsman_Act_1"/>
      <w:bookmarkStart w:id="12" w:name="THE_INSPECTOR_GENERAL_OF_INTELLIGENCE_AN"/>
      <w:bookmarkStart w:id="13" w:name="PRESCRIBED_INVESTIGATIVE_AGENCIES"/>
      <w:bookmarkStart w:id="14" w:name="_Toc442714219"/>
      <w:bookmarkEnd w:id="11"/>
      <w:bookmarkEnd w:id="12"/>
      <w:bookmarkEnd w:id="13"/>
      <w:r w:rsidRPr="008A2006">
        <w:rPr>
          <w:color w:val="4F6228" w:themeColor="accent3" w:themeShade="80"/>
        </w:rPr>
        <w:t>Complaints about agency actions under the PID scheme</w:t>
      </w:r>
      <w:bookmarkEnd w:id="14"/>
    </w:p>
    <w:p w:rsidR="00314448" w:rsidRPr="008A2006" w:rsidRDefault="00314448" w:rsidP="00314448">
      <w:pPr>
        <w:pStyle w:val="BodyText"/>
        <w:ind w:left="0" w:right="-46"/>
        <w:rPr>
          <w:rFonts w:asciiTheme="minorHAnsi" w:hAnsiTheme="minorHAnsi"/>
          <w:sz w:val="22"/>
          <w:szCs w:val="22"/>
        </w:rPr>
      </w:pPr>
      <w:r w:rsidRPr="008A2006">
        <w:rPr>
          <w:rFonts w:asciiTheme="minorHAnsi" w:hAnsiTheme="minorHAnsi"/>
          <w:sz w:val="22"/>
          <w:szCs w:val="22"/>
        </w:rPr>
        <w:t xml:space="preserve">One of the </w:t>
      </w:r>
      <w:r>
        <w:rPr>
          <w:rFonts w:asciiTheme="minorHAnsi" w:hAnsiTheme="minorHAnsi"/>
          <w:sz w:val="22"/>
          <w:szCs w:val="22"/>
        </w:rPr>
        <w:t>princip</w:t>
      </w:r>
      <w:r w:rsidR="003D6BCC">
        <w:rPr>
          <w:rFonts w:asciiTheme="minorHAnsi" w:hAnsiTheme="minorHAnsi"/>
          <w:sz w:val="22"/>
          <w:szCs w:val="22"/>
        </w:rPr>
        <w:t>a</w:t>
      </w:r>
      <w:r>
        <w:rPr>
          <w:rFonts w:asciiTheme="minorHAnsi" w:hAnsiTheme="minorHAnsi"/>
          <w:sz w:val="22"/>
          <w:szCs w:val="22"/>
        </w:rPr>
        <w:t xml:space="preserve">l </w:t>
      </w:r>
      <w:r w:rsidRPr="008A2006">
        <w:rPr>
          <w:rFonts w:asciiTheme="minorHAnsi" w:hAnsiTheme="minorHAnsi"/>
          <w:sz w:val="22"/>
          <w:szCs w:val="22"/>
        </w:rPr>
        <w:t xml:space="preserve">functions </w:t>
      </w:r>
      <w:r>
        <w:rPr>
          <w:rFonts w:asciiTheme="minorHAnsi" w:hAnsiTheme="minorHAnsi"/>
          <w:sz w:val="22"/>
          <w:szCs w:val="22"/>
        </w:rPr>
        <w:t xml:space="preserve">of the IGIS </w:t>
      </w:r>
      <w:r w:rsidRPr="008A2006">
        <w:rPr>
          <w:rFonts w:asciiTheme="minorHAnsi" w:hAnsiTheme="minorHAnsi"/>
          <w:sz w:val="22"/>
          <w:szCs w:val="22"/>
        </w:rPr>
        <w:t xml:space="preserve">under the </w:t>
      </w:r>
      <w:r>
        <w:rPr>
          <w:rFonts w:asciiTheme="minorHAnsi" w:hAnsiTheme="minorHAnsi"/>
          <w:sz w:val="22"/>
          <w:szCs w:val="22"/>
        </w:rPr>
        <w:t xml:space="preserve">IGIS Act </w:t>
      </w:r>
      <w:r w:rsidRPr="008A2006">
        <w:rPr>
          <w:rFonts w:asciiTheme="minorHAnsi" w:hAnsiTheme="minorHAnsi"/>
          <w:sz w:val="22"/>
          <w:szCs w:val="22"/>
        </w:rPr>
        <w:t xml:space="preserve">is to investigate complaints made about the actions and decisions of </w:t>
      </w:r>
      <w:r>
        <w:rPr>
          <w:rFonts w:asciiTheme="minorHAnsi" w:hAnsiTheme="minorHAnsi"/>
          <w:sz w:val="22"/>
          <w:szCs w:val="22"/>
        </w:rPr>
        <w:t>the AIC</w:t>
      </w:r>
      <w:r w:rsidR="003D6BCC">
        <w:rPr>
          <w:rFonts w:asciiTheme="minorHAnsi" w:hAnsiTheme="minorHAnsi"/>
          <w:sz w:val="22"/>
          <w:szCs w:val="22"/>
        </w:rPr>
        <w:t xml:space="preserve"> </w:t>
      </w:r>
      <w:r>
        <w:rPr>
          <w:rFonts w:asciiTheme="minorHAnsi" w:hAnsiTheme="minorHAnsi"/>
          <w:sz w:val="22"/>
          <w:szCs w:val="22"/>
        </w:rPr>
        <w:t>agencies</w:t>
      </w:r>
      <w:r w:rsidRPr="008A2006">
        <w:rPr>
          <w:rFonts w:asciiTheme="minorHAnsi" w:hAnsiTheme="minorHAnsi"/>
          <w:sz w:val="22"/>
          <w:szCs w:val="22"/>
        </w:rPr>
        <w:t xml:space="preserve">. This </w:t>
      </w:r>
      <w:r w:rsidR="003D6BCC">
        <w:rPr>
          <w:rFonts w:asciiTheme="minorHAnsi" w:hAnsiTheme="minorHAnsi"/>
          <w:sz w:val="22"/>
          <w:szCs w:val="22"/>
        </w:rPr>
        <w:t xml:space="preserve">may </w:t>
      </w:r>
      <w:r w:rsidRPr="008A2006">
        <w:rPr>
          <w:rFonts w:asciiTheme="minorHAnsi" w:hAnsiTheme="minorHAnsi"/>
          <w:sz w:val="22"/>
          <w:szCs w:val="22"/>
        </w:rPr>
        <w:t xml:space="preserve">include complaints about how an agency has handled a public interest disclosure. </w:t>
      </w:r>
      <w:r>
        <w:rPr>
          <w:rFonts w:asciiTheme="minorHAnsi" w:hAnsiTheme="minorHAnsi"/>
          <w:sz w:val="22"/>
          <w:szCs w:val="22"/>
        </w:rPr>
        <w:t xml:space="preserve">  </w:t>
      </w:r>
      <w:r w:rsidRPr="008A2006">
        <w:rPr>
          <w:rFonts w:asciiTheme="minorHAnsi" w:hAnsiTheme="minorHAnsi"/>
          <w:sz w:val="22"/>
          <w:szCs w:val="22"/>
        </w:rPr>
        <w:t xml:space="preserve">The </w:t>
      </w:r>
      <w:r>
        <w:rPr>
          <w:rFonts w:asciiTheme="minorHAnsi" w:hAnsiTheme="minorHAnsi"/>
          <w:sz w:val="22"/>
          <w:szCs w:val="22"/>
        </w:rPr>
        <w:t xml:space="preserve">IGIS </w:t>
      </w:r>
      <w:r w:rsidR="005F1D92">
        <w:rPr>
          <w:rFonts w:asciiTheme="minorHAnsi" w:hAnsiTheme="minorHAnsi"/>
          <w:sz w:val="22"/>
          <w:szCs w:val="22"/>
        </w:rPr>
        <w:t xml:space="preserve">has </w:t>
      </w:r>
      <w:r>
        <w:rPr>
          <w:rFonts w:asciiTheme="minorHAnsi" w:hAnsiTheme="minorHAnsi"/>
          <w:sz w:val="22"/>
          <w:szCs w:val="22"/>
        </w:rPr>
        <w:t xml:space="preserve">ultimate </w:t>
      </w:r>
      <w:r w:rsidRPr="008A2006">
        <w:rPr>
          <w:rFonts w:asciiTheme="minorHAnsi" w:hAnsiTheme="minorHAnsi"/>
          <w:sz w:val="22"/>
          <w:szCs w:val="22"/>
        </w:rPr>
        <w:t xml:space="preserve">discretion </w:t>
      </w:r>
      <w:r w:rsidR="005F1D92">
        <w:rPr>
          <w:rFonts w:asciiTheme="minorHAnsi" w:hAnsiTheme="minorHAnsi"/>
          <w:sz w:val="22"/>
          <w:szCs w:val="22"/>
        </w:rPr>
        <w:t xml:space="preserve">to </w:t>
      </w:r>
      <w:r>
        <w:rPr>
          <w:rFonts w:asciiTheme="minorHAnsi" w:hAnsiTheme="minorHAnsi"/>
          <w:sz w:val="22"/>
          <w:szCs w:val="22"/>
        </w:rPr>
        <w:t>investigate</w:t>
      </w:r>
      <w:r w:rsidR="005F1D92">
        <w:rPr>
          <w:rFonts w:asciiTheme="minorHAnsi" w:hAnsiTheme="minorHAnsi"/>
          <w:sz w:val="22"/>
          <w:szCs w:val="22"/>
        </w:rPr>
        <w:t>,</w:t>
      </w:r>
      <w:r>
        <w:rPr>
          <w:rFonts w:asciiTheme="minorHAnsi" w:hAnsiTheme="minorHAnsi"/>
          <w:sz w:val="22"/>
          <w:szCs w:val="22"/>
        </w:rPr>
        <w:t xml:space="preserve"> or </w:t>
      </w:r>
      <w:r w:rsidRPr="008A2006">
        <w:rPr>
          <w:rFonts w:asciiTheme="minorHAnsi" w:hAnsiTheme="minorHAnsi"/>
          <w:sz w:val="22"/>
          <w:szCs w:val="22"/>
        </w:rPr>
        <w:t>not to investigate</w:t>
      </w:r>
      <w:r w:rsidR="005F1D92">
        <w:rPr>
          <w:rFonts w:asciiTheme="minorHAnsi" w:hAnsiTheme="minorHAnsi"/>
          <w:sz w:val="22"/>
          <w:szCs w:val="22"/>
        </w:rPr>
        <w:t>,</w:t>
      </w:r>
      <w:r w:rsidRPr="008A2006">
        <w:rPr>
          <w:rFonts w:asciiTheme="minorHAnsi" w:hAnsiTheme="minorHAnsi"/>
          <w:sz w:val="22"/>
          <w:szCs w:val="22"/>
        </w:rPr>
        <w:t xml:space="preserve"> such complaint</w:t>
      </w:r>
      <w:r w:rsidR="005F1D92">
        <w:rPr>
          <w:rFonts w:asciiTheme="minorHAnsi" w:hAnsiTheme="minorHAnsi"/>
          <w:sz w:val="22"/>
          <w:szCs w:val="22"/>
        </w:rPr>
        <w:t>s</w:t>
      </w:r>
      <w:r>
        <w:rPr>
          <w:rFonts w:asciiTheme="minorHAnsi" w:hAnsiTheme="minorHAnsi"/>
          <w:sz w:val="22"/>
          <w:szCs w:val="22"/>
        </w:rPr>
        <w:t xml:space="preserve"> </w:t>
      </w:r>
      <w:r w:rsidR="005F1D92">
        <w:rPr>
          <w:rFonts w:asciiTheme="minorHAnsi" w:hAnsiTheme="minorHAnsi"/>
          <w:sz w:val="22"/>
          <w:szCs w:val="22"/>
        </w:rPr>
        <w:t xml:space="preserve">in accordance with </w:t>
      </w:r>
      <w:r>
        <w:rPr>
          <w:rFonts w:asciiTheme="minorHAnsi" w:hAnsiTheme="minorHAnsi"/>
          <w:sz w:val="22"/>
          <w:szCs w:val="22"/>
        </w:rPr>
        <w:t>section 11(2</w:t>
      </w:r>
      <w:proofErr w:type="gramStart"/>
      <w:r>
        <w:rPr>
          <w:rFonts w:asciiTheme="minorHAnsi" w:hAnsiTheme="minorHAnsi"/>
          <w:sz w:val="22"/>
          <w:szCs w:val="22"/>
        </w:rPr>
        <w:t>)(</w:t>
      </w:r>
      <w:proofErr w:type="gramEnd"/>
      <w:r>
        <w:rPr>
          <w:rFonts w:asciiTheme="minorHAnsi" w:hAnsiTheme="minorHAnsi"/>
          <w:sz w:val="22"/>
          <w:szCs w:val="22"/>
        </w:rPr>
        <w:t>c) of the IGIS Act.</w:t>
      </w:r>
    </w:p>
    <w:p w:rsidR="00314448" w:rsidRPr="000E4516" w:rsidRDefault="00314448" w:rsidP="00314448">
      <w:pPr>
        <w:pStyle w:val="BodyText"/>
        <w:ind w:left="0" w:right="-46"/>
      </w:pPr>
      <w:r w:rsidRPr="008A2006">
        <w:rPr>
          <w:rFonts w:asciiTheme="minorHAnsi" w:hAnsiTheme="minorHAnsi"/>
          <w:sz w:val="22"/>
          <w:szCs w:val="22"/>
        </w:rPr>
        <w:t xml:space="preserve">The </w:t>
      </w:r>
      <w:r>
        <w:rPr>
          <w:rFonts w:asciiTheme="minorHAnsi" w:hAnsiTheme="minorHAnsi"/>
          <w:sz w:val="22"/>
          <w:szCs w:val="22"/>
        </w:rPr>
        <w:t xml:space="preserve">IGIS </w:t>
      </w:r>
      <w:r w:rsidR="00C03F07">
        <w:rPr>
          <w:rFonts w:asciiTheme="minorHAnsi" w:hAnsiTheme="minorHAnsi"/>
          <w:sz w:val="22"/>
          <w:szCs w:val="22"/>
        </w:rPr>
        <w:t>also has</w:t>
      </w:r>
      <w:r w:rsidRPr="008A2006">
        <w:rPr>
          <w:rFonts w:asciiTheme="minorHAnsi" w:hAnsiTheme="minorHAnsi"/>
          <w:sz w:val="22"/>
          <w:szCs w:val="22"/>
        </w:rPr>
        <w:t xml:space="preserve"> power </w:t>
      </w:r>
      <w:r w:rsidR="00C03F07">
        <w:rPr>
          <w:rFonts w:asciiTheme="minorHAnsi" w:hAnsiTheme="minorHAnsi"/>
          <w:sz w:val="22"/>
          <w:szCs w:val="22"/>
        </w:rPr>
        <w:t xml:space="preserve">under the IGIS Act </w:t>
      </w:r>
      <w:r w:rsidRPr="008A2006">
        <w:rPr>
          <w:rFonts w:asciiTheme="minorHAnsi" w:hAnsiTheme="minorHAnsi"/>
          <w:sz w:val="22"/>
          <w:szCs w:val="22"/>
        </w:rPr>
        <w:t>to conduct own motion investigations. Th</w:t>
      </w:r>
      <w:r>
        <w:rPr>
          <w:rFonts w:asciiTheme="minorHAnsi" w:hAnsiTheme="minorHAnsi"/>
          <w:sz w:val="22"/>
          <w:szCs w:val="22"/>
        </w:rPr>
        <w:t>is power could be u</w:t>
      </w:r>
      <w:r w:rsidR="003D6BCC">
        <w:rPr>
          <w:rFonts w:asciiTheme="minorHAnsi" w:hAnsiTheme="minorHAnsi"/>
          <w:sz w:val="22"/>
          <w:szCs w:val="22"/>
        </w:rPr>
        <w:t>sed</w:t>
      </w:r>
      <w:r>
        <w:rPr>
          <w:rFonts w:asciiTheme="minorHAnsi" w:hAnsiTheme="minorHAnsi"/>
          <w:sz w:val="22"/>
          <w:szCs w:val="22"/>
        </w:rPr>
        <w:t xml:space="preserve"> at </w:t>
      </w:r>
      <w:r w:rsidR="003D6BCC">
        <w:rPr>
          <w:rFonts w:asciiTheme="minorHAnsi" w:hAnsiTheme="minorHAnsi"/>
          <w:sz w:val="22"/>
          <w:szCs w:val="22"/>
        </w:rPr>
        <w:t xml:space="preserve">the </w:t>
      </w:r>
      <w:r>
        <w:rPr>
          <w:rFonts w:asciiTheme="minorHAnsi" w:hAnsiTheme="minorHAnsi"/>
          <w:sz w:val="22"/>
          <w:szCs w:val="22"/>
        </w:rPr>
        <w:t>IGIS’s discretion, to investigate</w:t>
      </w:r>
      <w:r w:rsidRPr="008A2006">
        <w:rPr>
          <w:rFonts w:asciiTheme="minorHAnsi" w:hAnsiTheme="minorHAnsi"/>
          <w:sz w:val="22"/>
          <w:szCs w:val="22"/>
        </w:rPr>
        <w:t xml:space="preserve"> systemic issues</w:t>
      </w:r>
      <w:r>
        <w:rPr>
          <w:rFonts w:asciiTheme="minorHAnsi" w:hAnsiTheme="minorHAnsi"/>
          <w:sz w:val="22"/>
          <w:szCs w:val="22"/>
        </w:rPr>
        <w:t>, including</w:t>
      </w:r>
      <w:r w:rsidRPr="008A2006">
        <w:rPr>
          <w:rFonts w:asciiTheme="minorHAnsi" w:hAnsiTheme="minorHAnsi"/>
          <w:sz w:val="22"/>
          <w:szCs w:val="22"/>
        </w:rPr>
        <w:t xml:space="preserve"> how agencies have </w:t>
      </w:r>
      <w:r w:rsidR="003D6BCC">
        <w:rPr>
          <w:rFonts w:asciiTheme="minorHAnsi" w:hAnsiTheme="minorHAnsi"/>
          <w:sz w:val="22"/>
          <w:szCs w:val="22"/>
        </w:rPr>
        <w:t>discharged</w:t>
      </w:r>
      <w:r w:rsidRPr="008A2006">
        <w:rPr>
          <w:rFonts w:asciiTheme="minorHAnsi" w:hAnsiTheme="minorHAnsi"/>
          <w:sz w:val="22"/>
          <w:szCs w:val="22"/>
        </w:rPr>
        <w:t xml:space="preserve"> their responsibilities under the PID Act.</w:t>
      </w:r>
    </w:p>
    <w:p w:rsidR="00314448" w:rsidRPr="00116134" w:rsidRDefault="00314448" w:rsidP="00314448">
      <w:pPr>
        <w:pStyle w:val="Heading2"/>
        <w:rPr>
          <w:color w:val="4F6228" w:themeColor="accent3" w:themeShade="80"/>
        </w:rPr>
      </w:pPr>
      <w:r w:rsidRPr="00AB2ED1">
        <w:rPr>
          <w:color w:val="4F6228" w:themeColor="accent3" w:themeShade="80"/>
        </w:rPr>
        <w:t xml:space="preserve">Complaints </w:t>
      </w:r>
      <w:r>
        <w:rPr>
          <w:color w:val="4F6228" w:themeColor="accent3" w:themeShade="80"/>
        </w:rPr>
        <w:t>and notifications made to IGIS under the PID Act</w:t>
      </w:r>
      <w:r>
        <w:rPr>
          <w:color w:val="4F6228" w:themeColor="accent3" w:themeShade="80"/>
        </w:rPr>
        <w:br/>
      </w:r>
    </w:p>
    <w:p w:rsidR="00314448" w:rsidRDefault="00314448" w:rsidP="00314448">
      <w:r>
        <w:t xml:space="preserve">The PID Act commenced operation on 15 </w:t>
      </w:r>
      <w:r w:rsidRPr="004B2E9C">
        <w:t>January 2014</w:t>
      </w:r>
      <w:r>
        <w:t>.  In the period since the</w:t>
      </w:r>
      <w:r w:rsidR="00C03F07">
        <w:t xml:space="preserve"> Act commenced u</w:t>
      </w:r>
      <w:r>
        <w:t>n</w:t>
      </w:r>
      <w:r w:rsidR="00C03F07">
        <w:t>til the date of this submission</w:t>
      </w:r>
      <w:r>
        <w:t xml:space="preserve"> IGIS has received eight authorised internal disclosures</w:t>
      </w:r>
      <w:r w:rsidR="00C03F07">
        <w:t>,</w:t>
      </w:r>
      <w:r>
        <w:t xml:space="preserve"> and has been notified by the AIC agencies of a</w:t>
      </w:r>
      <w:r w:rsidR="003A57F1">
        <w:t xml:space="preserve"> further 11</w:t>
      </w:r>
      <w:r w:rsidR="00B14AB9">
        <w:t xml:space="preserve"> complaints which have</w:t>
      </w:r>
      <w:r>
        <w:t xml:space="preserve"> been </w:t>
      </w:r>
      <w:r w:rsidR="003A57F1">
        <w:t xml:space="preserve">received and/or </w:t>
      </w:r>
      <w:r>
        <w:t>allocated to them for investigation.</w:t>
      </w:r>
    </w:p>
    <w:p w:rsidR="00314448" w:rsidRDefault="00314448" w:rsidP="00314448">
      <w:r>
        <w:t xml:space="preserve">With two exceptions, each of the disclosures made directly to IGIS were from current or former public officials.  </w:t>
      </w:r>
    </w:p>
    <w:p w:rsidR="00314448" w:rsidRDefault="00314448" w:rsidP="00314448">
      <w:r>
        <w:t>Of the two exceptions, in one instance the discloser had worked very closely with an AIC</w:t>
      </w:r>
      <w:r w:rsidR="00BE6989">
        <w:t xml:space="preserve"> </w:t>
      </w:r>
      <w:r>
        <w:t>agency over a number of years and was deemed to be a public official by IGIS, so as to remove any possible doubt about the standing of the individual. In the other instance, an anonymous complaint was received which contained sufficient information to persuade IGIS that the originator more than likely worked within an AIC agency.</w:t>
      </w:r>
    </w:p>
    <w:p w:rsidR="00314448" w:rsidRDefault="00314448" w:rsidP="00314448">
      <w:r>
        <w:t xml:space="preserve">Not all of the individuals who made disclosures to IGIS were aware of the PID Act, or claimed to be lodging complaints under the PID Act.  This is likely to have occurred because of the relative newness of the legislation and/or because former officials might not be as aware of the PID Act, as current public officials. </w:t>
      </w:r>
    </w:p>
    <w:p w:rsidR="00314448" w:rsidRDefault="00314448" w:rsidP="00314448">
      <w:r>
        <w:lastRenderedPageBreak/>
        <w:t>In all instances where the identity of the discloser was known to IGIS, the disclosers were advised of the existence of the PID Act and the statutory protections which were potentially available to disclos</w:t>
      </w:r>
      <w:r w:rsidR="00B14AB9">
        <w:t>ers</w:t>
      </w:r>
      <w:r>
        <w:t xml:space="preserve"> were the PID Act to be enlivened.  </w:t>
      </w:r>
    </w:p>
    <w:p w:rsidR="00314448" w:rsidRDefault="00B14AB9" w:rsidP="00314448">
      <w:r>
        <w:t>There has also been a</w:t>
      </w:r>
      <w:r w:rsidR="009D2C44">
        <w:t xml:space="preserve">n effort </w:t>
      </w:r>
      <w:r w:rsidR="00314448">
        <w:t>by this office</w:t>
      </w:r>
      <w:r w:rsidR="009D2C44">
        <w:t xml:space="preserve"> to </w:t>
      </w:r>
      <w:r w:rsidR="00BE6989">
        <w:t xml:space="preserve">alert </w:t>
      </w:r>
      <w:r w:rsidR="00314448">
        <w:t xml:space="preserve">disclosers </w:t>
      </w:r>
      <w:r w:rsidR="00BE6989">
        <w:t xml:space="preserve">to </w:t>
      </w:r>
      <w:r>
        <w:t xml:space="preserve">the </w:t>
      </w:r>
      <w:r w:rsidR="00BE6989">
        <w:t xml:space="preserve">advantages and disadvantages </w:t>
      </w:r>
      <w:r w:rsidR="009D2C44">
        <w:t xml:space="preserve">of disclosing their identity </w:t>
      </w:r>
      <w:r w:rsidR="00BE6989">
        <w:t xml:space="preserve">taking into account </w:t>
      </w:r>
      <w:r w:rsidR="009D2C44">
        <w:t xml:space="preserve">the limiting effect that non-disclosure of their identity would have on </w:t>
      </w:r>
      <w:r>
        <w:t>conducting a</w:t>
      </w:r>
      <w:r w:rsidR="009D2C44">
        <w:t>n effective investigation which directly addresses the issues they have raised.</w:t>
      </w:r>
    </w:p>
    <w:p w:rsidR="00314448" w:rsidRDefault="00314448" w:rsidP="00314448">
      <w:pPr>
        <w:rPr>
          <w:lang w:val="en"/>
        </w:rPr>
      </w:pPr>
      <w:r w:rsidRPr="001006C4">
        <w:rPr>
          <w:lang w:val="en"/>
        </w:rPr>
        <w:t xml:space="preserve">In the </w:t>
      </w:r>
      <w:r>
        <w:rPr>
          <w:lang w:val="en"/>
        </w:rPr>
        <w:t xml:space="preserve">2014-15 </w:t>
      </w:r>
      <w:r w:rsidRPr="001006C4">
        <w:rPr>
          <w:lang w:val="en"/>
        </w:rPr>
        <w:t>reporting period four disclosures were made to IGIS under the PID scheme.</w:t>
      </w:r>
      <w:r>
        <w:rPr>
          <w:lang w:val="en"/>
        </w:rPr>
        <w:t xml:space="preserve">  </w:t>
      </w:r>
    </w:p>
    <w:p w:rsidR="00314448" w:rsidRDefault="00314448" w:rsidP="00314448">
      <w:pPr>
        <w:pStyle w:val="ListParagraph"/>
        <w:numPr>
          <w:ilvl w:val="0"/>
          <w:numId w:val="28"/>
        </w:numPr>
        <w:rPr>
          <w:lang w:val="en"/>
        </w:rPr>
      </w:pPr>
      <w:r w:rsidRPr="004B2E9C">
        <w:rPr>
          <w:lang w:val="en"/>
        </w:rPr>
        <w:t xml:space="preserve">One disclosure was made by a former employee of an intelligence agency who raised concerns about the legality and propriety of operational activities allegedly undertaken </w:t>
      </w:r>
      <w:r w:rsidR="00BE6989">
        <w:rPr>
          <w:lang w:val="en"/>
        </w:rPr>
        <w:t xml:space="preserve">a number of years earlier, in Australia, </w:t>
      </w:r>
      <w:r w:rsidRPr="004B2E9C">
        <w:rPr>
          <w:lang w:val="en"/>
        </w:rPr>
        <w:t>by an Australian intelligence agency</w:t>
      </w:r>
      <w:r w:rsidR="00BE6989">
        <w:rPr>
          <w:lang w:val="en"/>
        </w:rPr>
        <w:t>,</w:t>
      </w:r>
      <w:r w:rsidRPr="004B2E9C">
        <w:rPr>
          <w:lang w:val="en"/>
        </w:rPr>
        <w:t xml:space="preserve"> in cooperation with a foreign intelligence agency</w:t>
      </w:r>
      <w:r w:rsidR="00BE6989">
        <w:rPr>
          <w:lang w:val="en"/>
        </w:rPr>
        <w:t>,</w:t>
      </w:r>
      <w:r w:rsidRPr="004B2E9C">
        <w:rPr>
          <w:lang w:val="en"/>
        </w:rPr>
        <w:t xml:space="preserve"> at a specific location. </w:t>
      </w:r>
      <w:r>
        <w:rPr>
          <w:lang w:val="en"/>
        </w:rPr>
        <w:t>Following investigation, the Ins</w:t>
      </w:r>
      <w:r w:rsidRPr="004B2E9C">
        <w:rPr>
          <w:lang w:val="en"/>
        </w:rPr>
        <w:t xml:space="preserve">pector-General was satisfied that no evidence existed to substantiate </w:t>
      </w:r>
      <w:r w:rsidR="00BE6989">
        <w:rPr>
          <w:lang w:val="en"/>
        </w:rPr>
        <w:t xml:space="preserve">the </w:t>
      </w:r>
      <w:r w:rsidRPr="004B2E9C">
        <w:rPr>
          <w:lang w:val="en"/>
        </w:rPr>
        <w:t xml:space="preserve">claim that conduct of the kind alleged by the discloser had in fact occurred.  The investigation identified another matter, not raised in the original complaint, which was pursued separately with the agency. </w:t>
      </w:r>
      <w:r>
        <w:rPr>
          <w:lang w:val="en"/>
        </w:rPr>
        <w:br/>
      </w:r>
    </w:p>
    <w:p w:rsidR="00314448" w:rsidRDefault="00314448" w:rsidP="00314448">
      <w:pPr>
        <w:pStyle w:val="ListParagraph"/>
        <w:numPr>
          <w:ilvl w:val="0"/>
          <w:numId w:val="28"/>
        </w:numPr>
        <w:rPr>
          <w:lang w:val="en"/>
        </w:rPr>
      </w:pPr>
      <w:r w:rsidRPr="004B2E9C">
        <w:rPr>
          <w:lang w:val="en"/>
        </w:rPr>
        <w:t>The second disclosure was made by an individual who had previously had a close working relationship with one of the intelligence agencies</w:t>
      </w:r>
      <w:r>
        <w:rPr>
          <w:lang w:val="en"/>
        </w:rPr>
        <w:t xml:space="preserve"> and was </w:t>
      </w:r>
      <w:r w:rsidRPr="004B2E9C">
        <w:rPr>
          <w:lang w:val="en"/>
        </w:rPr>
        <w:t>deemed to be a 'public official' for the purposes of the PID Act. This matter included a contractual dispute and also raised broader concerns about agency conduct which fell within the ambit of the PID Act. The IGIS found that there were serious gaps in the record keeping of the relevant agency which impeded the IGIS investigation</w:t>
      </w:r>
      <w:r>
        <w:rPr>
          <w:lang w:val="en"/>
        </w:rPr>
        <w:t xml:space="preserve"> and that in light of the seriousness of some of the </w:t>
      </w:r>
      <w:proofErr w:type="gramStart"/>
      <w:r>
        <w:rPr>
          <w:lang w:val="en"/>
        </w:rPr>
        <w:t>concerns,</w:t>
      </w:r>
      <w:proofErr w:type="gramEnd"/>
      <w:r>
        <w:rPr>
          <w:lang w:val="en"/>
        </w:rPr>
        <w:t xml:space="preserve"> </w:t>
      </w:r>
      <w:r w:rsidRPr="004B2E9C">
        <w:rPr>
          <w:lang w:val="en"/>
        </w:rPr>
        <w:t>better systems should have been in place to ensure these were detected and addressed earlier.</w:t>
      </w:r>
      <w:r w:rsidR="009D2C44">
        <w:rPr>
          <w:lang w:val="en"/>
        </w:rPr>
        <w:br/>
      </w:r>
    </w:p>
    <w:p w:rsidR="00314448" w:rsidRDefault="00314448" w:rsidP="00314448">
      <w:pPr>
        <w:pStyle w:val="ListParagraph"/>
        <w:numPr>
          <w:ilvl w:val="0"/>
          <w:numId w:val="28"/>
        </w:numPr>
        <w:rPr>
          <w:lang w:val="en"/>
        </w:rPr>
      </w:pPr>
      <w:r w:rsidRPr="004B2E9C">
        <w:rPr>
          <w:lang w:val="en"/>
        </w:rPr>
        <w:t xml:space="preserve"> The third disclosure revolved around claims of workplace bullying and harassment which were allegedly left unaddressed by management. This matter was allocated to the relevant agency, with the investigation report being provided to the IGIS at its conclusion. </w:t>
      </w:r>
    </w:p>
    <w:p w:rsidR="00314448" w:rsidRDefault="00314448" w:rsidP="00314448">
      <w:pPr>
        <w:pStyle w:val="ListParagraph"/>
        <w:ind w:left="766"/>
        <w:rPr>
          <w:lang w:val="en"/>
        </w:rPr>
      </w:pPr>
    </w:p>
    <w:p w:rsidR="00314448" w:rsidRPr="004B2E9C" w:rsidRDefault="00314448" w:rsidP="00314448">
      <w:pPr>
        <w:pStyle w:val="ListParagraph"/>
        <w:numPr>
          <w:ilvl w:val="0"/>
          <w:numId w:val="28"/>
        </w:numPr>
        <w:rPr>
          <w:lang w:val="en"/>
        </w:rPr>
      </w:pPr>
      <w:r w:rsidRPr="004B2E9C">
        <w:rPr>
          <w:lang w:val="en"/>
        </w:rPr>
        <w:t xml:space="preserve">The fourth </w:t>
      </w:r>
      <w:r>
        <w:rPr>
          <w:lang w:val="en"/>
        </w:rPr>
        <w:t>disclosure</w:t>
      </w:r>
      <w:r w:rsidRPr="004B2E9C">
        <w:rPr>
          <w:lang w:val="en"/>
        </w:rPr>
        <w:t xml:space="preserve"> raised issues which had previously been the subject of thorough review, and the new issues raised in the disclosure were found not to meet the PID threshold.</w:t>
      </w:r>
    </w:p>
    <w:p w:rsidR="00314448" w:rsidRPr="00E61663" w:rsidRDefault="00314448" w:rsidP="00314448">
      <w:r w:rsidRPr="001006C4">
        <w:rPr>
          <w:lang w:val="en"/>
        </w:rPr>
        <w:t xml:space="preserve">In addition to the four disclosures made directly to the Inspector-General the intelligence agencies advised this office that four PID cases had been processed by the agencies during the </w:t>
      </w:r>
      <w:r>
        <w:rPr>
          <w:lang w:val="en"/>
        </w:rPr>
        <w:t xml:space="preserve">2014-15 </w:t>
      </w:r>
      <w:r w:rsidRPr="001006C4">
        <w:rPr>
          <w:lang w:val="en"/>
        </w:rPr>
        <w:t>reporting period.</w:t>
      </w:r>
    </w:p>
    <w:p w:rsidR="009D2C44" w:rsidRDefault="00314448" w:rsidP="00314448">
      <w:pPr>
        <w:pStyle w:val="Heading1"/>
        <w:rPr>
          <w:color w:val="4F6228" w:themeColor="accent3" w:themeShade="80"/>
        </w:rPr>
      </w:pPr>
      <w:r w:rsidRPr="003C75B2">
        <w:rPr>
          <w:color w:val="4F6228" w:themeColor="accent3" w:themeShade="80"/>
        </w:rPr>
        <w:lastRenderedPageBreak/>
        <w:t>Issues which could be addressed by amendments to the PID Act</w:t>
      </w:r>
    </w:p>
    <w:p w:rsidR="00314448" w:rsidRDefault="009D2C44" w:rsidP="009D2C44">
      <w:pPr>
        <w:pStyle w:val="Heading3"/>
      </w:pPr>
      <w:r w:rsidRPr="009D2C44">
        <w:rPr>
          <w:color w:val="auto"/>
        </w:rPr>
        <w:t>General observations</w:t>
      </w:r>
      <w:r w:rsidR="00314448" w:rsidRPr="009D2C44">
        <w:br/>
      </w:r>
    </w:p>
    <w:p w:rsidR="00892BD0" w:rsidRDefault="009D2C44" w:rsidP="009D2C44">
      <w:pPr>
        <w:rPr>
          <w:lang w:eastAsia="en-AU"/>
        </w:rPr>
      </w:pPr>
      <w:r>
        <w:rPr>
          <w:lang w:eastAsia="en-AU"/>
        </w:rPr>
        <w:t xml:space="preserve">Our experience, and input from the AIC agencies </w:t>
      </w:r>
      <w:r w:rsidR="00892BD0">
        <w:rPr>
          <w:lang w:eastAsia="en-AU"/>
        </w:rPr>
        <w:t xml:space="preserve">also </w:t>
      </w:r>
      <w:r>
        <w:rPr>
          <w:lang w:eastAsia="en-AU"/>
        </w:rPr>
        <w:t>suggest</w:t>
      </w:r>
      <w:r w:rsidR="00892BD0">
        <w:rPr>
          <w:lang w:eastAsia="en-AU"/>
        </w:rPr>
        <w:t xml:space="preserve">s, that the PID Act is overly proscriptive and </w:t>
      </w:r>
      <w:r>
        <w:rPr>
          <w:lang w:eastAsia="en-AU"/>
        </w:rPr>
        <w:t>procedurally c</w:t>
      </w:r>
      <w:r w:rsidR="00892BD0">
        <w:rPr>
          <w:lang w:eastAsia="en-AU"/>
        </w:rPr>
        <w:t xml:space="preserve">omplex.  </w:t>
      </w:r>
    </w:p>
    <w:p w:rsidR="009D2C44" w:rsidRDefault="00892BD0" w:rsidP="009D2C44">
      <w:pPr>
        <w:rPr>
          <w:lang w:eastAsia="en-AU"/>
        </w:rPr>
      </w:pPr>
      <w:r>
        <w:rPr>
          <w:lang w:eastAsia="en-AU"/>
        </w:rPr>
        <w:t xml:space="preserve">Despite having robust internal procedures and acting with good intent, it is very easy for supervisors, authorised officers, and principal officers, inadvertently </w:t>
      </w:r>
      <w:r w:rsidR="00BE6989">
        <w:rPr>
          <w:lang w:eastAsia="en-AU"/>
        </w:rPr>
        <w:t xml:space="preserve">to fail to comply </w:t>
      </w:r>
      <w:r>
        <w:rPr>
          <w:lang w:eastAsia="en-AU"/>
        </w:rPr>
        <w:t>with the requirements of the PID Act.</w:t>
      </w:r>
    </w:p>
    <w:p w:rsidR="00892BD0" w:rsidRDefault="00892BD0" w:rsidP="009D2C44">
      <w:pPr>
        <w:rPr>
          <w:lang w:eastAsia="en-AU"/>
        </w:rPr>
      </w:pPr>
      <w:r>
        <w:rPr>
          <w:lang w:eastAsia="en-AU"/>
        </w:rPr>
        <w:t>The complex</w:t>
      </w:r>
      <w:r w:rsidR="00BE6989">
        <w:rPr>
          <w:lang w:eastAsia="en-AU"/>
        </w:rPr>
        <w:t>ity</w:t>
      </w:r>
      <w:r w:rsidR="00D273C7">
        <w:rPr>
          <w:lang w:eastAsia="en-AU"/>
        </w:rPr>
        <w:t xml:space="preserve"> </w:t>
      </w:r>
      <w:r>
        <w:rPr>
          <w:lang w:eastAsia="en-AU"/>
        </w:rPr>
        <w:t xml:space="preserve">of </w:t>
      </w:r>
      <w:r w:rsidR="00BE6989">
        <w:rPr>
          <w:lang w:eastAsia="en-AU"/>
        </w:rPr>
        <w:t xml:space="preserve">the </w:t>
      </w:r>
      <w:r>
        <w:rPr>
          <w:lang w:eastAsia="en-AU"/>
        </w:rPr>
        <w:t>procedural requirements also encourages supervisors to adopt a practical approach to dealing with disclosable conduct at the less serious end of the scale, which in turn leads to potential under-reporting of disclosable conduct</w:t>
      </w:r>
      <w:r w:rsidR="00BE6989">
        <w:rPr>
          <w:lang w:eastAsia="en-AU"/>
        </w:rPr>
        <w:t>.</w:t>
      </w:r>
    </w:p>
    <w:p w:rsidR="00892BD0" w:rsidRPr="009D2C44" w:rsidRDefault="00892BD0" w:rsidP="009D2C44">
      <w:pPr>
        <w:rPr>
          <w:lang w:eastAsia="en-AU"/>
        </w:rPr>
      </w:pPr>
      <w:r>
        <w:rPr>
          <w:lang w:eastAsia="en-AU"/>
        </w:rPr>
        <w:t xml:space="preserve">The principal concerns raised with us by the AIC agencies is that the threshold for determining whether or not a matter should be treated as a PID is too low, and the </w:t>
      </w:r>
      <w:r w:rsidR="006779D1">
        <w:rPr>
          <w:lang w:eastAsia="en-AU"/>
        </w:rPr>
        <w:t>range of matters captured under the term ‘disclosable conduct’ is too wide.</w:t>
      </w:r>
      <w:r w:rsidR="00BE6989">
        <w:rPr>
          <w:lang w:eastAsia="en-AU"/>
        </w:rPr>
        <w:t xml:space="preserve"> These propositions are explored in more detail below.</w:t>
      </w:r>
    </w:p>
    <w:p w:rsidR="00314448" w:rsidRDefault="00E034FE" w:rsidP="00314448">
      <w:pPr>
        <w:pStyle w:val="ListParagraph"/>
        <w:keepNext/>
        <w:numPr>
          <w:ilvl w:val="0"/>
          <w:numId w:val="29"/>
        </w:numPr>
        <w:spacing w:after="200"/>
      </w:pPr>
      <w:r>
        <w:rPr>
          <w:b/>
        </w:rPr>
        <w:t xml:space="preserve">The scope </w:t>
      </w:r>
      <w:r w:rsidR="00314448" w:rsidRPr="00DF3F84">
        <w:rPr>
          <w:b/>
        </w:rPr>
        <w:t xml:space="preserve">of ‘disclosable conduct’ covered by the PID Act </w:t>
      </w:r>
      <w:r>
        <w:rPr>
          <w:b/>
        </w:rPr>
        <w:t>is considered to be too broad</w:t>
      </w:r>
      <w:r w:rsidR="00314448" w:rsidRPr="00DF3F84">
        <w:rPr>
          <w:b/>
        </w:rPr>
        <w:t xml:space="preserve"> </w:t>
      </w:r>
    </w:p>
    <w:p w:rsidR="00314448" w:rsidRDefault="00314448" w:rsidP="00314448">
      <w:r>
        <w:t>The PID Act applies to agencies that employ officials</w:t>
      </w:r>
      <w:r w:rsidR="00E034FE">
        <w:t xml:space="preserve"> under the </w:t>
      </w:r>
      <w:r w:rsidR="00E034FE">
        <w:rPr>
          <w:i/>
        </w:rPr>
        <w:t>Public Service Act 1999</w:t>
      </w:r>
      <w:r w:rsidR="00E034FE">
        <w:t>,</w:t>
      </w:r>
      <w:r>
        <w:t xml:space="preserve"> </w:t>
      </w:r>
      <w:r w:rsidR="00E034FE">
        <w:t>non-APS public officials, and members of the Australian Defence Force.</w:t>
      </w:r>
    </w:p>
    <w:p w:rsidR="00E034FE" w:rsidRDefault="00E034FE" w:rsidP="00314448">
      <w:r>
        <w:t xml:space="preserve">The AIC agencies employ officials under each of these </w:t>
      </w:r>
      <w:r w:rsidR="00AF142C">
        <w:t>categories</w:t>
      </w:r>
      <w:r>
        <w:t>.</w:t>
      </w:r>
    </w:p>
    <w:p w:rsidR="00314448" w:rsidRDefault="00314448" w:rsidP="00314448">
      <w:r w:rsidRPr="00463004">
        <w:t xml:space="preserve">The definition of </w:t>
      </w:r>
      <w:r>
        <w:t>maladministration</w:t>
      </w:r>
      <w:r w:rsidRPr="00463004">
        <w:t xml:space="preserve"> for the purposes of the </w:t>
      </w:r>
      <w:r>
        <w:t xml:space="preserve">PID </w:t>
      </w:r>
      <w:r w:rsidRPr="00463004">
        <w:t>Act</w:t>
      </w:r>
      <w:r>
        <w:t xml:space="preserve"> is broad and can capture</w:t>
      </w:r>
      <w:r w:rsidR="006779D1">
        <w:t xml:space="preserve"> employment-related grievances of a fairly trivial or non-serious nature.</w:t>
      </w:r>
    </w:p>
    <w:p w:rsidR="00314448" w:rsidRDefault="00AF142C" w:rsidP="00B14AB9">
      <w:r>
        <w:t>O</w:t>
      </w:r>
      <w:r w:rsidR="00E034FE">
        <w:t xml:space="preserve">ur own experience and </w:t>
      </w:r>
      <w:r>
        <w:t xml:space="preserve">the </w:t>
      </w:r>
      <w:r w:rsidR="00E034FE">
        <w:t xml:space="preserve">feedback we have received from the AIC agencies, </w:t>
      </w:r>
      <w:r>
        <w:t xml:space="preserve">suggests </w:t>
      </w:r>
      <w:r w:rsidR="00B14AB9">
        <w:t xml:space="preserve">that grievances of this kind </w:t>
      </w:r>
      <w:r w:rsidR="00E034FE">
        <w:t xml:space="preserve">where </w:t>
      </w:r>
      <w:r w:rsidR="00314448">
        <w:t xml:space="preserve">employment related grievances </w:t>
      </w:r>
      <w:r w:rsidR="00B14AB9">
        <w:t xml:space="preserve">can be </w:t>
      </w:r>
      <w:r w:rsidR="00314448">
        <w:t xml:space="preserve">handled outside </w:t>
      </w:r>
      <w:r w:rsidR="00E034FE">
        <w:t xml:space="preserve">of </w:t>
      </w:r>
      <w:r w:rsidR="00314448">
        <w:t>the PID Act</w:t>
      </w:r>
      <w:r>
        <w:t>, should not enliven the PID Act.</w:t>
      </w:r>
      <w:r w:rsidR="00314448">
        <w:t xml:space="preserve"> </w:t>
      </w:r>
    </w:p>
    <w:p w:rsidR="00314448" w:rsidRDefault="00314448" w:rsidP="00314448">
      <w:r>
        <w:t xml:space="preserve">Currently, public officials who are dissatisfied with an employment related </w:t>
      </w:r>
      <w:r w:rsidRPr="00937912">
        <w:t xml:space="preserve">decision </w:t>
      </w:r>
      <w:r>
        <w:t>might allege an officer or officers involved in the decision exhibited ‘disclos</w:t>
      </w:r>
      <w:r w:rsidR="00E034FE">
        <w:t>able conduct’ constituting, for</w:t>
      </w:r>
      <w:r>
        <w:t xml:space="preserve"> example, maladministration</w:t>
      </w:r>
      <w:r>
        <w:rPr>
          <w:rStyle w:val="FootnoteReference"/>
        </w:rPr>
        <w:footnoteReference w:id="2"/>
      </w:r>
      <w:r>
        <w:t>’, ‘abuse of public tr</w:t>
      </w:r>
      <w:r w:rsidR="00E034FE">
        <w:t xml:space="preserve">ust’, or ‘conduct … that could, </w:t>
      </w:r>
      <w:r>
        <w:t>if proved, give reasonable grounds for disciplinary action against the public official</w:t>
      </w:r>
      <w:r>
        <w:rPr>
          <w:rStyle w:val="FootnoteReference"/>
        </w:rPr>
        <w:footnoteReference w:id="3"/>
      </w:r>
      <w:r>
        <w:t>’ (</w:t>
      </w:r>
      <w:r w:rsidR="00E034FE">
        <w:t xml:space="preserve">See </w:t>
      </w:r>
      <w:proofErr w:type="gramStart"/>
      <w:r w:rsidR="00E034FE">
        <w:t>s.29(</w:t>
      </w:r>
      <w:proofErr w:type="gramEnd"/>
      <w:r w:rsidR="00E034FE">
        <w:t>1) of the PID Act,</w:t>
      </w:r>
      <w:r>
        <w:t xml:space="preserve"> table items 1, 4, 5 and s.29(2)(b)). </w:t>
      </w:r>
    </w:p>
    <w:p w:rsidR="006779D1" w:rsidRDefault="00E034FE" w:rsidP="00314448">
      <w:r>
        <w:t>A Principal O</w:t>
      </w:r>
      <w:r w:rsidR="00314448">
        <w:t xml:space="preserve">fficer </w:t>
      </w:r>
      <w:r>
        <w:t xml:space="preserve">of an agency under the PID Act </w:t>
      </w:r>
      <w:r w:rsidR="00314448">
        <w:t xml:space="preserve">has discretion not to investigate </w:t>
      </w:r>
      <w:r>
        <w:t xml:space="preserve">disclosures </w:t>
      </w:r>
      <w:r w:rsidR="00790CFF">
        <w:t xml:space="preserve">which have been </w:t>
      </w:r>
      <w:r>
        <w:t>allocated to their agencies</w:t>
      </w:r>
      <w:r w:rsidR="00790CFF">
        <w:t>,</w:t>
      </w:r>
      <w:r>
        <w:t xml:space="preserve"> on a range of grounds.  </w:t>
      </w:r>
    </w:p>
    <w:p w:rsidR="00790CFF" w:rsidRDefault="00E034FE" w:rsidP="00314448">
      <w:r>
        <w:lastRenderedPageBreak/>
        <w:t xml:space="preserve">These grounds </w:t>
      </w:r>
      <w:r w:rsidR="00314448">
        <w:t>includ</w:t>
      </w:r>
      <w:r>
        <w:t>e</w:t>
      </w:r>
      <w:r w:rsidR="00314448">
        <w:t xml:space="preserve"> if the information </w:t>
      </w:r>
      <w:r>
        <w:t xml:space="preserve">contained in the disclosure </w:t>
      </w:r>
      <w:r w:rsidR="00314448">
        <w:t>does not to any extent concern serious disclosable conduct, or the information is being</w:t>
      </w:r>
      <w:r>
        <w:t>,</w:t>
      </w:r>
      <w:r w:rsidR="00314448">
        <w:t xml:space="preserve"> or has been investigated under another Commonwealth law or the executive power of the Commonwealth (</w:t>
      </w:r>
      <w:r>
        <w:t xml:space="preserve">See </w:t>
      </w:r>
      <w:r w:rsidR="00314448">
        <w:t xml:space="preserve">s.48(1)(c) and (f)-(g)). </w:t>
      </w:r>
    </w:p>
    <w:p w:rsidR="00314448" w:rsidRDefault="00314448" w:rsidP="00314448">
      <w:r>
        <w:t>However, before that point is reached there is a</w:t>
      </w:r>
      <w:r w:rsidR="00790CFF">
        <w:t xml:space="preserve"> significant </w:t>
      </w:r>
      <w:r>
        <w:t xml:space="preserve">administrative impost </w:t>
      </w:r>
      <w:r w:rsidR="00790CFF">
        <w:t xml:space="preserve">on the agency which has received </w:t>
      </w:r>
      <w:r w:rsidR="006779D1">
        <w:t xml:space="preserve">or been allocated </w:t>
      </w:r>
      <w:r w:rsidR="00790CFF">
        <w:t xml:space="preserve">that disclosure. More specifically, the receiving agency </w:t>
      </w:r>
      <w:r>
        <w:t xml:space="preserve">needs to take the following steps: </w:t>
      </w:r>
    </w:p>
    <w:p w:rsidR="00314448" w:rsidRDefault="00314448" w:rsidP="00314448">
      <w:pPr>
        <w:pStyle w:val="ListParagraph"/>
        <w:numPr>
          <w:ilvl w:val="0"/>
          <w:numId w:val="30"/>
        </w:numPr>
        <w:spacing w:after="200"/>
      </w:pPr>
      <w:r>
        <w:t xml:space="preserve">an authorised officer </w:t>
      </w:r>
      <w:r w:rsidR="00790CFF">
        <w:t xml:space="preserve">must </w:t>
      </w:r>
      <w:r>
        <w:t>determin</w:t>
      </w:r>
      <w:r w:rsidR="00790CFF">
        <w:t>e</w:t>
      </w:r>
      <w:r>
        <w:t xml:space="preserve"> </w:t>
      </w:r>
      <w:r w:rsidR="00790CFF">
        <w:t xml:space="preserve">whether or not </w:t>
      </w:r>
      <w:r>
        <w:t xml:space="preserve">the disclosure </w:t>
      </w:r>
      <w:r w:rsidR="00790CFF">
        <w:t xml:space="preserve">is </w:t>
      </w:r>
      <w:r>
        <w:t xml:space="preserve">an </w:t>
      </w:r>
      <w:r w:rsidR="00790CFF">
        <w:t xml:space="preserve">authorised </w:t>
      </w:r>
      <w:r>
        <w:t>‘internal disclosure’</w:t>
      </w:r>
      <w:r w:rsidR="00790CFF">
        <w:t>,</w:t>
      </w:r>
      <w:r>
        <w:t xml:space="preserve"> and </w:t>
      </w:r>
      <w:r w:rsidR="00790CFF">
        <w:t xml:space="preserve">if so </w:t>
      </w:r>
      <w:r>
        <w:t>mak</w:t>
      </w:r>
      <w:r w:rsidR="00790CFF">
        <w:t>e</w:t>
      </w:r>
      <w:r>
        <w:t xml:space="preserve"> a decision to allocate the disclosure to the employing agency (s.43) – the disclosure qualifies for protections under the Act once it meets the crit</w:t>
      </w:r>
      <w:r w:rsidR="00790CFF">
        <w:t>eria for an internal disclosure</w:t>
      </w:r>
      <w:r w:rsidR="00790CFF">
        <w:br/>
      </w:r>
    </w:p>
    <w:p w:rsidR="00314448" w:rsidRDefault="00314448" w:rsidP="00314448">
      <w:pPr>
        <w:pStyle w:val="ListParagraph"/>
        <w:numPr>
          <w:ilvl w:val="0"/>
          <w:numId w:val="30"/>
        </w:numPr>
        <w:spacing w:after="200"/>
      </w:pPr>
      <w:r>
        <w:t xml:space="preserve">an authorised officer </w:t>
      </w:r>
      <w:r w:rsidR="00790CFF">
        <w:t xml:space="preserve">must </w:t>
      </w:r>
      <w:r>
        <w:t>obtain consent from the discloser to the provision of their name and contact details to the principal officer of the employing agency (if those details are known to the a</w:t>
      </w:r>
      <w:r w:rsidR="00790CFF">
        <w:t>uthorised officer) (s.44(1)(d))</w:t>
      </w:r>
      <w:r w:rsidR="00790CFF">
        <w:br/>
      </w:r>
    </w:p>
    <w:p w:rsidR="00314448" w:rsidRDefault="00314448" w:rsidP="00314448">
      <w:pPr>
        <w:pStyle w:val="ListParagraph"/>
        <w:numPr>
          <w:ilvl w:val="0"/>
          <w:numId w:val="30"/>
        </w:numPr>
        <w:spacing w:after="200"/>
      </w:pPr>
      <w:r>
        <w:t xml:space="preserve">an authorised officer </w:t>
      </w:r>
      <w:r w:rsidR="00790CFF">
        <w:t xml:space="preserve">must </w:t>
      </w:r>
      <w:r>
        <w:t>giv</w:t>
      </w:r>
      <w:r w:rsidR="00790CFF">
        <w:t>e</w:t>
      </w:r>
      <w:r>
        <w:t xml:space="preserve"> notice of the allocation to the agency, </w:t>
      </w:r>
      <w:r w:rsidR="00790CFF">
        <w:t xml:space="preserve">to </w:t>
      </w:r>
      <w:r>
        <w:t>the IGIS, and to the d</w:t>
      </w:r>
      <w:r w:rsidR="00790CFF">
        <w:t>iscloser (s.44(1),(1A) and (2))</w:t>
      </w:r>
      <w:r w:rsidR="00790CFF">
        <w:br/>
      </w:r>
    </w:p>
    <w:p w:rsidR="006779D1" w:rsidRDefault="00314448" w:rsidP="00314448">
      <w:pPr>
        <w:pStyle w:val="ListParagraph"/>
        <w:numPr>
          <w:ilvl w:val="0"/>
          <w:numId w:val="30"/>
        </w:numPr>
        <w:spacing w:after="200"/>
      </w:pPr>
      <w:r>
        <w:t>a principal officer (or delegate) undertaking preliminary inquiries into the grievance before determining not to investigate the disclosure further on</w:t>
      </w:r>
      <w:r w:rsidR="006779D1">
        <w:t xml:space="preserve"> an applicable ground (s.48(1)), and</w:t>
      </w:r>
      <w:r w:rsidR="006779D1">
        <w:br/>
      </w:r>
    </w:p>
    <w:p w:rsidR="00314448" w:rsidRDefault="00314448" w:rsidP="00314448">
      <w:pPr>
        <w:pStyle w:val="ListParagraph"/>
        <w:numPr>
          <w:ilvl w:val="0"/>
          <w:numId w:val="30"/>
        </w:numPr>
        <w:spacing w:after="200"/>
      </w:pPr>
      <w:r>
        <w:t xml:space="preserve"> </w:t>
      </w:r>
      <w:proofErr w:type="gramStart"/>
      <w:r w:rsidR="00D273C7">
        <w:t>n</w:t>
      </w:r>
      <w:r>
        <w:t>otice</w:t>
      </w:r>
      <w:proofErr w:type="gramEnd"/>
      <w:r>
        <w:t xml:space="preserve"> of reasons is required to be given to the discloser and to the IGIS (</w:t>
      </w:r>
      <w:r w:rsidR="00790CFF">
        <w:t>s.</w:t>
      </w:r>
      <w:r>
        <w:t>50A).</w:t>
      </w:r>
    </w:p>
    <w:p w:rsidR="00314448" w:rsidRDefault="00314448" w:rsidP="00314448">
      <w:r>
        <w:t xml:space="preserve">Where </w:t>
      </w:r>
      <w:r w:rsidR="00AF142C">
        <w:t xml:space="preserve">a discloser who is dissatisfied with an employment decision fails to exercise </w:t>
      </w:r>
      <w:r>
        <w:t>a right of review under the Public Service Act</w:t>
      </w:r>
      <w:r w:rsidR="00790CFF">
        <w:t xml:space="preserve">, a Determination by the </w:t>
      </w:r>
      <w:r w:rsidR="006779D1">
        <w:t>Director-General of Security,</w:t>
      </w:r>
      <w:r w:rsidR="00790CFF">
        <w:t xml:space="preserve"> the Director-General of ASIS, or</w:t>
      </w:r>
      <w:r>
        <w:t xml:space="preserve"> </w:t>
      </w:r>
      <w:r w:rsidR="006779D1">
        <w:t>under gr</w:t>
      </w:r>
      <w:r w:rsidR="00790CFF">
        <w:t xml:space="preserve">ievance handling processes for ADF members, </w:t>
      </w:r>
      <w:r>
        <w:t xml:space="preserve">agencies may also cease the PID Act investigation and undertake review action in reliance on s.47(3). </w:t>
      </w:r>
    </w:p>
    <w:p w:rsidR="00314448" w:rsidRDefault="00314448" w:rsidP="00314448">
      <w:r>
        <w:t xml:space="preserve">Individuals disclosing personal employment related grievances will ordinarily be seeking an outcome that directly benefits them, such as overturning a performance outcome or having action taken in response to a bullying complaint. </w:t>
      </w:r>
    </w:p>
    <w:p w:rsidR="00314448" w:rsidRDefault="00314448" w:rsidP="00314448">
      <w:pPr>
        <w:rPr>
          <w:color w:val="1F497D" w:themeColor="text2"/>
        </w:rPr>
      </w:pPr>
      <w:r>
        <w:t xml:space="preserve">While serious matters such as bias, unfairness or inappropriateness can underlie these allegations, existing formal and informal procedures governing employment and engagement could allow individuals to seek action on these issues.  </w:t>
      </w:r>
    </w:p>
    <w:p w:rsidR="00314448" w:rsidRPr="00AB4C0E" w:rsidRDefault="00790CFF" w:rsidP="00314448">
      <w:r w:rsidRPr="00790CFF">
        <w:t xml:space="preserve">This office </w:t>
      </w:r>
      <w:r>
        <w:t xml:space="preserve">believes that </w:t>
      </w:r>
      <w:r w:rsidR="00314448">
        <w:t xml:space="preserve">the definition of ‘disclosable conduct’ should be narrowed to exclude conduct that is in the </w:t>
      </w:r>
      <w:r>
        <w:t xml:space="preserve">nature of a personal employment </w:t>
      </w:r>
      <w:r w:rsidR="00314448">
        <w:t>related grievance</w:t>
      </w:r>
      <w:r>
        <w:t>,</w:t>
      </w:r>
      <w:r w:rsidR="00314448">
        <w:t xml:space="preserve"> unless the conduct is systemic in nature. </w:t>
      </w:r>
    </w:p>
    <w:p w:rsidR="00314448" w:rsidRPr="00D80CC6" w:rsidRDefault="00314448" w:rsidP="00314448">
      <w:pPr>
        <w:pStyle w:val="ListParagraph"/>
        <w:numPr>
          <w:ilvl w:val="0"/>
          <w:numId w:val="29"/>
        </w:numPr>
        <w:spacing w:after="200"/>
      </w:pPr>
      <w:r w:rsidRPr="00D80CC6">
        <w:rPr>
          <w:b/>
        </w:rPr>
        <w:t>How to make a PID - requirement</w:t>
      </w:r>
      <w:r>
        <w:rPr>
          <w:b/>
        </w:rPr>
        <w:t>s</w:t>
      </w:r>
      <w:r w:rsidRPr="00D80CC6">
        <w:rPr>
          <w:b/>
        </w:rPr>
        <w:t xml:space="preserve"> to invoke the PID Act and role of supervisors </w:t>
      </w:r>
    </w:p>
    <w:p w:rsidR="00314448" w:rsidRDefault="00314448" w:rsidP="00314448">
      <w:r>
        <w:t>To engage the PID Act, a public official is not required to state that they are making a PID (</w:t>
      </w:r>
      <w:proofErr w:type="gramStart"/>
      <w:r>
        <w:t>s.28(</w:t>
      </w:r>
      <w:proofErr w:type="gramEnd"/>
      <w:r>
        <w:t xml:space="preserve">3)), however, the absence of a requirement that a public official needs to invoke the Act can create operational uncertainty. </w:t>
      </w:r>
    </w:p>
    <w:p w:rsidR="006779D1" w:rsidRDefault="00314448" w:rsidP="00314448">
      <w:r>
        <w:lastRenderedPageBreak/>
        <w:t xml:space="preserve">Coupled with the breadth of conduct captured by ‘disclosable conduct’, the risk of technical non-compliance with the PID Act is high, particularly where minor work-place grievances are raised with supervisors.  </w:t>
      </w:r>
    </w:p>
    <w:p w:rsidR="00314448" w:rsidRDefault="00314448" w:rsidP="00314448">
      <w:r>
        <w:t xml:space="preserve">This </w:t>
      </w:r>
      <w:r w:rsidR="00FE2AE4">
        <w:t xml:space="preserve">risk arises </w:t>
      </w:r>
      <w:r>
        <w:t xml:space="preserve">because supervisors are required to give information to a PID authorised officer if they have reasonable grounds to believe the information concerns, or </w:t>
      </w:r>
      <w:r w:rsidRPr="005B6F51">
        <w:rPr>
          <w:i/>
        </w:rPr>
        <w:t xml:space="preserve">could </w:t>
      </w:r>
      <w:r>
        <w:t xml:space="preserve">concern, an instance of ‘disclosable conduct’ (s.60A). </w:t>
      </w:r>
    </w:p>
    <w:p w:rsidR="00314448" w:rsidRDefault="00314448" w:rsidP="00314448">
      <w:pPr>
        <w:pStyle w:val="ListParagraph"/>
        <w:ind w:left="0"/>
      </w:pPr>
      <w:r>
        <w:t xml:space="preserve">The term ‘disclosable conduct’ encompasses ‘maladministration’ and conduct that, if proved, could give reasonable grounds for disciplinary action. </w:t>
      </w:r>
    </w:p>
    <w:p w:rsidR="00314448" w:rsidRDefault="00314448" w:rsidP="00314448">
      <w:pPr>
        <w:pStyle w:val="ListParagraph"/>
        <w:ind w:left="0"/>
      </w:pPr>
    </w:p>
    <w:p w:rsidR="00314448" w:rsidRDefault="00314448" w:rsidP="00314448">
      <w:pPr>
        <w:pStyle w:val="ListParagraph"/>
        <w:ind w:left="0"/>
      </w:pPr>
      <w:r>
        <w:t>The supervisor does not have to consider the conduct to be serious and the subordinate need not have intended that a formal procedure be commenced.</w:t>
      </w:r>
    </w:p>
    <w:p w:rsidR="00314448" w:rsidRDefault="00314448" w:rsidP="00314448">
      <w:pPr>
        <w:pStyle w:val="ListParagraph"/>
        <w:ind w:left="0"/>
      </w:pPr>
    </w:p>
    <w:p w:rsidR="00314448" w:rsidRDefault="00314448" w:rsidP="00314448">
      <w:pPr>
        <w:pStyle w:val="ListParagraph"/>
        <w:ind w:left="0"/>
      </w:pPr>
      <w:r>
        <w:t xml:space="preserve"> </w:t>
      </w:r>
      <w:r w:rsidRPr="00A801E3">
        <w:t>If the subordinate does not want to invoke a formal procedure under the PID Act, there is no ‘discloser’ leaving uncertainty in relation to the engagement of the notification and protection obligations under the Act.</w:t>
      </w:r>
    </w:p>
    <w:p w:rsidR="00314448" w:rsidRDefault="00D273C7" w:rsidP="00314448">
      <w:r>
        <w:t xml:space="preserve">One </w:t>
      </w:r>
      <w:r w:rsidR="00FE2AE4" w:rsidRPr="009A187F">
        <w:t xml:space="preserve">option to avoid </w:t>
      </w:r>
      <w:r w:rsidR="00842772" w:rsidRPr="009A187F">
        <w:t xml:space="preserve">possible </w:t>
      </w:r>
      <w:r w:rsidR="00FE2AE4" w:rsidRPr="009A187F">
        <w:t xml:space="preserve">technical non-compliance while ensuring the interests of disclosers are best served </w:t>
      </w:r>
      <w:r>
        <w:t xml:space="preserve">may </w:t>
      </w:r>
      <w:r w:rsidR="00FE2AE4" w:rsidRPr="009A187F">
        <w:t xml:space="preserve">be to </w:t>
      </w:r>
      <w:r w:rsidR="00314448" w:rsidRPr="009A187F">
        <w:t>maintain the present position</w:t>
      </w:r>
      <w:r w:rsidR="00842772" w:rsidRPr="009A187F">
        <w:t>, that is</w:t>
      </w:r>
      <w:r w:rsidR="00314448" w:rsidRPr="009A187F">
        <w:t xml:space="preserve"> that a discloser need not express an intention that they are making a PID, </w:t>
      </w:r>
      <w:r w:rsidR="00FE2AE4" w:rsidRPr="009A187F">
        <w:t xml:space="preserve">but </w:t>
      </w:r>
      <w:r w:rsidR="00314448" w:rsidRPr="009A187F">
        <w:t>amend the mandatory obligation on a supervisor to give information to an authorised officer so that instead</w:t>
      </w:r>
      <w:r w:rsidR="00FE2AE4" w:rsidRPr="009A187F">
        <w:t>,</w:t>
      </w:r>
      <w:r w:rsidR="00314448" w:rsidRPr="009A187F">
        <w:t xml:space="preserve"> a supervisor has a discretion to do so where they believe the information concerns ‘serious’ disclosable conduct (s.60A).</w:t>
      </w:r>
    </w:p>
    <w:p w:rsidR="00314448" w:rsidRPr="00D80CC6" w:rsidRDefault="00314448" w:rsidP="00314448">
      <w:pPr>
        <w:pStyle w:val="ListParagraph"/>
        <w:numPr>
          <w:ilvl w:val="0"/>
          <w:numId w:val="29"/>
        </w:numPr>
        <w:spacing w:after="200"/>
        <w:rPr>
          <w:b/>
        </w:rPr>
      </w:pPr>
      <w:r w:rsidRPr="00D80CC6">
        <w:rPr>
          <w:b/>
        </w:rPr>
        <w:t>Scope of ‘public official’ covered by the PID Act – individuals who may be deemed (strengthen discretion not to deem)</w:t>
      </w:r>
    </w:p>
    <w:p w:rsidR="00314448" w:rsidRDefault="00314448" w:rsidP="00314448">
      <w:r>
        <w:t>A person who is, or has been, a public official may make a disclosure under the PID Act (</w:t>
      </w:r>
      <w:proofErr w:type="gramStart"/>
      <w:r>
        <w:t>s.26(</w:t>
      </w:r>
      <w:proofErr w:type="gramEnd"/>
      <w:r>
        <w:t>1)(a)).</w:t>
      </w:r>
    </w:p>
    <w:p w:rsidR="00314448" w:rsidRDefault="00314448" w:rsidP="00314448">
      <w:r>
        <w:t xml:space="preserve"> The Act also permits an authorised officer to deem an individual to be a ‘public official’ if satisfied on reasonable grounds that the individual has information that concerns ‘disclosable conduct’, and the individual was not a public official when they obtained the information (s.70). </w:t>
      </w:r>
    </w:p>
    <w:p w:rsidR="00314448" w:rsidRDefault="00FE2AE4" w:rsidP="00314448">
      <w:r>
        <w:t>Although this office has not received any formal deeming requests</w:t>
      </w:r>
      <w:r w:rsidR="00E60318">
        <w:t xml:space="preserve">, </w:t>
      </w:r>
      <w:r w:rsidR="00D273C7">
        <w:t xml:space="preserve">consideration should perhaps be given to amending </w:t>
      </w:r>
      <w:r w:rsidR="00E60318">
        <w:t xml:space="preserve">the PID Act </w:t>
      </w:r>
      <w:r w:rsidR="00314448">
        <w:t xml:space="preserve">to expressly permit an authorised officer to dismiss a deeming request if the information </w:t>
      </w:r>
      <w:r w:rsidR="00842772">
        <w:t xml:space="preserve">provided </w:t>
      </w:r>
      <w:r w:rsidR="00314448">
        <w:t>is not serious</w:t>
      </w:r>
      <w:r w:rsidR="00842772">
        <w:t>,</w:t>
      </w:r>
      <w:r w:rsidR="00314448">
        <w:t xml:space="preserve"> or if the individual has another remedy available to them (e.g. review of action). </w:t>
      </w:r>
    </w:p>
    <w:p w:rsidR="00842772" w:rsidRDefault="00842772" w:rsidP="00314448">
      <w:r>
        <w:t>A</w:t>
      </w:r>
      <w:r w:rsidR="00314448">
        <w:t xml:space="preserve">s a PID may be made anonymously it can be difficult for an authorised officer to be </w:t>
      </w:r>
      <w:r>
        <w:t xml:space="preserve">totally </w:t>
      </w:r>
      <w:r w:rsidR="00314448">
        <w:t xml:space="preserve">satisfied whether or not an individual is a public official. </w:t>
      </w:r>
    </w:p>
    <w:p w:rsidR="00314448" w:rsidRDefault="00D273C7" w:rsidP="00314448">
      <w:r>
        <w:t xml:space="preserve">Consideration could perhaps be </w:t>
      </w:r>
      <w:proofErr w:type="gramStart"/>
      <w:r>
        <w:t>given  to</w:t>
      </w:r>
      <w:proofErr w:type="gramEnd"/>
      <w:r>
        <w:t xml:space="preserve"> amending </w:t>
      </w:r>
      <w:r w:rsidR="00314448">
        <w:t xml:space="preserve">s.70(1)(b)) of the </w:t>
      </w:r>
      <w:r w:rsidR="00842772">
        <w:t xml:space="preserve">PID </w:t>
      </w:r>
      <w:r w:rsidR="00314448">
        <w:t xml:space="preserve">Act to permit an authorised officer to deem a person to be a public official even if they are uncertain whether the individual is a public official. </w:t>
      </w:r>
    </w:p>
    <w:p w:rsidR="00D273C7" w:rsidRDefault="00D273C7" w:rsidP="00314448"/>
    <w:p w:rsidR="00D273C7" w:rsidRDefault="00D273C7" w:rsidP="00314448"/>
    <w:p w:rsidR="00314448" w:rsidRPr="00B3723D" w:rsidRDefault="00842772" w:rsidP="00314448">
      <w:pPr>
        <w:pStyle w:val="ListParagraph"/>
        <w:numPr>
          <w:ilvl w:val="0"/>
          <w:numId w:val="29"/>
        </w:numPr>
        <w:spacing w:after="200"/>
        <w:rPr>
          <w:b/>
        </w:rPr>
      </w:pPr>
      <w:r>
        <w:rPr>
          <w:b/>
        </w:rPr>
        <w:lastRenderedPageBreak/>
        <w:t xml:space="preserve">Authorise the </w:t>
      </w:r>
      <w:r w:rsidR="00314448" w:rsidRPr="00F05083">
        <w:rPr>
          <w:b/>
        </w:rPr>
        <w:t>IGIS to give section 51 report to an agency</w:t>
      </w:r>
    </w:p>
    <w:p w:rsidR="00314448" w:rsidRDefault="00314448" w:rsidP="00314448">
      <w:r>
        <w:t>The IGIS</w:t>
      </w:r>
      <w:r w:rsidR="00842772">
        <w:t xml:space="preserve"> </w:t>
      </w:r>
      <w:r>
        <w:t>may decide either to investigate a PID under the</w:t>
      </w:r>
      <w:r w:rsidR="00842772">
        <w:t xml:space="preserve"> IGIS Act </w:t>
      </w:r>
      <w:r>
        <w:t xml:space="preserve">or under Part 3 of the </w:t>
      </w:r>
      <w:r w:rsidR="00842772">
        <w:t xml:space="preserve">PID </w:t>
      </w:r>
      <w:r>
        <w:t xml:space="preserve">Act (s.49). In the latter case, a report of the investigation made under s.51 must be given to the discloser (if contactable). </w:t>
      </w:r>
    </w:p>
    <w:p w:rsidR="00842772" w:rsidRDefault="00314448" w:rsidP="00314448">
      <w:r>
        <w:t>Wh</w:t>
      </w:r>
      <w:r w:rsidR="00842772">
        <w:t xml:space="preserve">ile the IGIS has, to date, chosen to investigate allocated PID complaints under the IGIS Act rather than the PID Act, there is </w:t>
      </w:r>
      <w:r>
        <w:t xml:space="preserve">no express provision </w:t>
      </w:r>
      <w:r w:rsidR="00842772">
        <w:t xml:space="preserve">made in the PID Act </w:t>
      </w:r>
      <w:r>
        <w:t xml:space="preserve">for a report to be given to an agency to which the conduct relates. </w:t>
      </w:r>
    </w:p>
    <w:p w:rsidR="00314448" w:rsidRDefault="00842772" w:rsidP="00314448">
      <w:r>
        <w:t xml:space="preserve">It </w:t>
      </w:r>
      <w:r w:rsidR="006128E6">
        <w:t xml:space="preserve">may </w:t>
      </w:r>
      <w:r>
        <w:t>be sensible to insert an express authority to do so into section 51</w:t>
      </w:r>
      <w:r w:rsidR="00AF142C">
        <w:t xml:space="preserve"> </w:t>
      </w:r>
      <w:r>
        <w:t>of the PID Act, enabling IGIS to do so</w:t>
      </w:r>
      <w:r w:rsidR="006128E6">
        <w:t>, on a discretionary basis.</w:t>
      </w:r>
    </w:p>
    <w:p w:rsidR="00314448" w:rsidRDefault="00314448" w:rsidP="00314448">
      <w:pPr>
        <w:pStyle w:val="ListParagraph"/>
        <w:numPr>
          <w:ilvl w:val="0"/>
          <w:numId w:val="29"/>
        </w:numPr>
        <w:spacing w:after="200"/>
        <w:rPr>
          <w:b/>
        </w:rPr>
      </w:pPr>
      <w:r>
        <w:rPr>
          <w:b/>
        </w:rPr>
        <w:t xml:space="preserve">Amend annual report obligations </w:t>
      </w:r>
    </w:p>
    <w:p w:rsidR="00314448" w:rsidRDefault="00314448" w:rsidP="00314448">
      <w:r w:rsidRPr="00DF220E">
        <w:t>Agencies are required to report to the Ombudsman at the end of each financial year on certain information about disclosures which is to be included in the Ombudsman’s Annual Report</w:t>
      </w:r>
      <w:r w:rsidR="00842772">
        <w:t xml:space="preserve"> on the operation of the PID Act</w:t>
      </w:r>
      <w:r>
        <w:t xml:space="preserve"> </w:t>
      </w:r>
      <w:r w:rsidRPr="00DF220E">
        <w:t>(</w:t>
      </w:r>
      <w:proofErr w:type="gramStart"/>
      <w:r w:rsidRPr="00DF220E">
        <w:t>s.76(</w:t>
      </w:r>
      <w:proofErr w:type="gramEnd"/>
      <w:r w:rsidRPr="00DF220E">
        <w:t>2)(a)(iv)</w:t>
      </w:r>
      <w:r>
        <w:t xml:space="preserve"> of the PID Act). </w:t>
      </w:r>
    </w:p>
    <w:p w:rsidR="00314448" w:rsidRDefault="00314448" w:rsidP="00314448">
      <w:r>
        <w:t xml:space="preserve">In the case of the AIC agencies, this information is submitted to IGIS, who prepares an unclassified, </w:t>
      </w:r>
      <w:r w:rsidR="00842772">
        <w:t>‘</w:t>
      </w:r>
      <w:r>
        <w:t>whole of AIC</w:t>
      </w:r>
      <w:r w:rsidR="00842772">
        <w:t>’</w:t>
      </w:r>
      <w:r>
        <w:t xml:space="preserve"> response to the Ombudsman.</w:t>
      </w:r>
    </w:p>
    <w:p w:rsidR="00314448" w:rsidRPr="00DF220E" w:rsidRDefault="00842772" w:rsidP="00314448">
      <w:r>
        <w:t>We understand that the</w:t>
      </w:r>
      <w:r w:rsidR="00314448">
        <w:t xml:space="preserve"> Ombudsman </w:t>
      </w:r>
      <w:r w:rsidR="00DA5062">
        <w:t>has proposed/</w:t>
      </w:r>
      <w:r w:rsidR="00314448">
        <w:t xml:space="preserve">is proposing </w:t>
      </w:r>
      <w:r w:rsidR="00314448" w:rsidRPr="00DF220E">
        <w:t xml:space="preserve">that </w:t>
      </w:r>
      <w:proofErr w:type="gramStart"/>
      <w:r w:rsidR="00314448" w:rsidRPr="00DF220E">
        <w:t>s.76(</w:t>
      </w:r>
      <w:proofErr w:type="gramEnd"/>
      <w:r w:rsidR="00314448" w:rsidRPr="00DF220E">
        <w:t xml:space="preserve">2)(a)(iv) </w:t>
      </w:r>
      <w:r w:rsidR="00314448">
        <w:t xml:space="preserve">be removed and replaced by </w:t>
      </w:r>
      <w:r w:rsidR="00314448" w:rsidRPr="00DF220E">
        <w:t xml:space="preserve">a requirement for agencies to report: </w:t>
      </w:r>
    </w:p>
    <w:p w:rsidR="00314448" w:rsidRDefault="00314448" w:rsidP="00314448">
      <w:pPr>
        <w:pStyle w:val="ListParagraph"/>
        <w:numPr>
          <w:ilvl w:val="0"/>
          <w:numId w:val="31"/>
        </w:numPr>
        <w:spacing w:after="200"/>
      </w:pPr>
      <w:r w:rsidRPr="00DF220E">
        <w:t>whether they made a finding of disclosable conduct in response to a PID investigati</w:t>
      </w:r>
      <w:r w:rsidR="00DA5062">
        <w:t>on, and if so, in what category</w:t>
      </w:r>
      <w:r w:rsidR="00DA5062">
        <w:br/>
      </w:r>
    </w:p>
    <w:p w:rsidR="00314448" w:rsidRDefault="00314448" w:rsidP="00314448">
      <w:pPr>
        <w:pStyle w:val="ListParagraph"/>
        <w:numPr>
          <w:ilvl w:val="0"/>
          <w:numId w:val="31"/>
        </w:numPr>
        <w:spacing w:after="200"/>
      </w:pPr>
      <w:proofErr w:type="gramStart"/>
      <w:r w:rsidRPr="00DF220E">
        <w:t>whether</w:t>
      </w:r>
      <w:proofErr w:type="gramEnd"/>
      <w:r w:rsidRPr="00DF220E">
        <w:t xml:space="preserve"> any action was recommended to address a finding and, if so, what that action was and whether the action has been taken.</w:t>
      </w:r>
    </w:p>
    <w:p w:rsidR="00314448" w:rsidRPr="00CB7A71" w:rsidRDefault="00DA5062" w:rsidP="00314448">
      <w:pPr>
        <w:ind w:left="46"/>
      </w:pPr>
      <w:r>
        <w:t>We have no concerns with such an amendment being made, so long as intelligence information, or information which identifies an AIC agency, can be removed or redacted by IGIS, as necessary or appropriate.</w:t>
      </w:r>
    </w:p>
    <w:p w:rsidR="00314448" w:rsidRPr="00620ABD" w:rsidRDefault="00314448" w:rsidP="00314448">
      <w:pPr>
        <w:pStyle w:val="ListParagraph"/>
        <w:numPr>
          <w:ilvl w:val="0"/>
          <w:numId w:val="29"/>
        </w:numPr>
        <w:spacing w:after="200"/>
        <w:rPr>
          <w:b/>
        </w:rPr>
      </w:pPr>
      <w:r w:rsidRPr="00620ABD">
        <w:rPr>
          <w:b/>
        </w:rPr>
        <w:t>Does section 45 (subsequent allocation) need to be broadened to enable an agency that has been allocated a disclosure to make a subsequent allocation?</w:t>
      </w:r>
      <w:r>
        <w:rPr>
          <w:b/>
        </w:rPr>
        <w:t xml:space="preserve"> </w:t>
      </w:r>
    </w:p>
    <w:p w:rsidR="00DA5062" w:rsidRDefault="00314448" w:rsidP="00314448">
      <w:r>
        <w:t xml:space="preserve">Section 45 permits an authorised officer of an agency, who has made an allocation decision under s.43, to make a subsequent decision to allocate the handling of a disclosure to one or more other agencies. </w:t>
      </w:r>
    </w:p>
    <w:p w:rsidR="00314448" w:rsidRDefault="00314448" w:rsidP="00314448">
      <w:r>
        <w:t xml:space="preserve">No provision explicitly empowers a receiving agency to make a subsequent allocation or allocations. </w:t>
      </w:r>
      <w:r w:rsidR="00DA5062">
        <w:t xml:space="preserve">While the </w:t>
      </w:r>
      <w:r>
        <w:t xml:space="preserve">power </w:t>
      </w:r>
      <w:r w:rsidR="00DA5062">
        <w:t xml:space="preserve">to do so might be might be implied, </w:t>
      </w:r>
      <w:r w:rsidR="006128E6">
        <w:t xml:space="preserve">consideration could be given to whether </w:t>
      </w:r>
      <w:r w:rsidR="00DA5062">
        <w:t>it should be expressly stated.</w:t>
      </w:r>
    </w:p>
    <w:p w:rsidR="006128E6" w:rsidRDefault="006128E6" w:rsidP="00314448"/>
    <w:p w:rsidR="006128E6" w:rsidRDefault="006128E6" w:rsidP="00314448"/>
    <w:p w:rsidR="00314448" w:rsidRPr="00DA5062" w:rsidRDefault="00DA5062" w:rsidP="00DA5062">
      <w:pPr>
        <w:pStyle w:val="ListParagraph"/>
        <w:numPr>
          <w:ilvl w:val="0"/>
          <w:numId w:val="29"/>
        </w:numPr>
        <w:rPr>
          <w:b/>
        </w:rPr>
      </w:pPr>
      <w:r>
        <w:rPr>
          <w:b/>
        </w:rPr>
        <w:lastRenderedPageBreak/>
        <w:t>Expansion of notification requirement of an allocation decision</w:t>
      </w:r>
    </w:p>
    <w:p w:rsidR="00DA5062" w:rsidRDefault="00DA5062" w:rsidP="00DA5062">
      <w:pPr>
        <w:pStyle w:val="ListParagraph"/>
        <w:ind w:left="360"/>
      </w:pPr>
    </w:p>
    <w:p w:rsidR="00DA5062" w:rsidRDefault="00DA5062" w:rsidP="00DA5062">
      <w:pPr>
        <w:pStyle w:val="ListParagraph"/>
        <w:ind w:left="0"/>
      </w:pPr>
      <w:r>
        <w:t>Section 44(1A</w:t>
      </w:r>
      <w:proofErr w:type="gramStart"/>
      <w:r>
        <w:t>)</w:t>
      </w:r>
      <w:r w:rsidR="00EC4B4E">
        <w:t>(</w:t>
      </w:r>
      <w:proofErr w:type="gramEnd"/>
      <w:r w:rsidR="00EC4B4E">
        <w:t>b)</w:t>
      </w:r>
      <w:r>
        <w:t xml:space="preserve"> of the PID Act requires authorised officers to inform IGIS of any decision </w:t>
      </w:r>
      <w:r w:rsidR="00EC4B4E">
        <w:t>to allocate a PID to an intelligence agency.  There is, however, no express provision requiring an authorised officer of an intelligence agency to notify IGIS, where their agency has received a PID and then allocated the matter to a non-intelligence agency for investigation.</w:t>
      </w:r>
    </w:p>
    <w:p w:rsidR="00EC4B4E" w:rsidRDefault="00EC4B4E" w:rsidP="00DA5062">
      <w:pPr>
        <w:pStyle w:val="ListParagraph"/>
        <w:ind w:left="0"/>
      </w:pPr>
    </w:p>
    <w:p w:rsidR="00DA5062" w:rsidRPr="00EC4B4E" w:rsidRDefault="006128E6" w:rsidP="00EC4B4E">
      <w:pPr>
        <w:pStyle w:val="ListParagraph"/>
        <w:ind w:left="0"/>
      </w:pPr>
      <w:r>
        <w:t>T</w:t>
      </w:r>
      <w:r w:rsidR="00EC4B4E">
        <w:t xml:space="preserve">he insertion of such a notification requirement </w:t>
      </w:r>
      <w:r>
        <w:t xml:space="preserve">could </w:t>
      </w:r>
      <w:r w:rsidR="00EC4B4E">
        <w:t>assist IGIS to monitor the appropriateness of PID handling procedures in the AIC agencies when making external allocations.</w:t>
      </w:r>
      <w:r w:rsidR="00EC4B4E">
        <w:br/>
      </w:r>
    </w:p>
    <w:p w:rsidR="00314448" w:rsidRPr="00CB7A71" w:rsidRDefault="00314448" w:rsidP="00314448">
      <w:pPr>
        <w:pStyle w:val="ListParagraph"/>
        <w:numPr>
          <w:ilvl w:val="0"/>
          <w:numId w:val="29"/>
        </w:numPr>
        <w:spacing w:after="200"/>
        <w:rPr>
          <w:b/>
        </w:rPr>
      </w:pPr>
      <w:r w:rsidRPr="00CB7A71">
        <w:rPr>
          <w:b/>
        </w:rPr>
        <w:t>Ombudsman and IGIS discretion to allocate a disclosure to an agency about which the conduct is concerned (s.43)</w:t>
      </w:r>
    </w:p>
    <w:p w:rsidR="00EC4B4E" w:rsidRDefault="00314448" w:rsidP="00314448">
      <w:r w:rsidRPr="00923657">
        <w:t xml:space="preserve">It is intended that the agency with which the alleged conduct is concerned handles the disclosure and any investigation unless it would not be appropriate to do so. </w:t>
      </w:r>
    </w:p>
    <w:p w:rsidR="00EC4B4E" w:rsidRDefault="00314448" w:rsidP="00314448">
      <w:r w:rsidRPr="00923657">
        <w:t xml:space="preserve">A discloser can make a disclosure directly to the IGIS if they believe on reasonable grounds that it would be appropriate for the disclosure to be investigated by </w:t>
      </w:r>
      <w:r w:rsidR="00EC4B4E">
        <w:t>IGIS</w:t>
      </w:r>
      <w:r w:rsidRPr="00923657">
        <w:t xml:space="preserve">. </w:t>
      </w:r>
    </w:p>
    <w:p w:rsidR="00EC4B4E" w:rsidRDefault="00314448" w:rsidP="00314448">
      <w:r>
        <w:t xml:space="preserve">The IGIS can in turn allocate the disclosure to the agency with which the conduct is concerned through the allocation power (s.43). </w:t>
      </w:r>
    </w:p>
    <w:p w:rsidR="00314448" w:rsidRDefault="00314448" w:rsidP="00314448">
      <w:r>
        <w:t xml:space="preserve">It is implied that the discretion may be exercised where the IGIS is satisfied that another agency may properly investigate the disclosure having regard to the principles in </w:t>
      </w:r>
      <w:proofErr w:type="gramStart"/>
      <w:r>
        <w:t>s.43(</w:t>
      </w:r>
      <w:proofErr w:type="gramEnd"/>
      <w:r>
        <w:t xml:space="preserve">3). </w:t>
      </w:r>
    </w:p>
    <w:p w:rsidR="00314448" w:rsidRDefault="00314448" w:rsidP="00314448">
      <w:r>
        <w:t xml:space="preserve">Disclosers could protest against decisions by the Ombudsman or the IGIS to allocate disclosures to other agencies. </w:t>
      </w:r>
    </w:p>
    <w:p w:rsidR="00314448" w:rsidRDefault="006128E6" w:rsidP="00314448">
      <w:r>
        <w:t xml:space="preserve">The Review may wish to consider whether there is a need to clarify </w:t>
      </w:r>
      <w:r w:rsidR="00314448">
        <w:t xml:space="preserve">section 43(3)(b) </w:t>
      </w:r>
      <w:r>
        <w:t xml:space="preserve">of the PID Act </w:t>
      </w:r>
      <w:r w:rsidR="00314448">
        <w:t xml:space="preserve">to </w:t>
      </w:r>
      <w:r>
        <w:t xml:space="preserve">remove any doubt </w:t>
      </w:r>
      <w:r w:rsidR="00314448">
        <w:t xml:space="preserve">that IGIS </w:t>
      </w:r>
      <w:r>
        <w:t xml:space="preserve">can </w:t>
      </w:r>
      <w:r w:rsidR="00314448">
        <w:t xml:space="preserve">allocate a disclosure to another agency where </w:t>
      </w:r>
      <w:r>
        <w:t xml:space="preserve">it is considered that </w:t>
      </w:r>
      <w:r w:rsidR="00314448">
        <w:t xml:space="preserve">it would be appropriate for that agency to handle the disclosure. </w:t>
      </w:r>
    </w:p>
    <w:p w:rsidR="00314448" w:rsidRDefault="00314448"/>
    <w:p w:rsidR="009E2E23" w:rsidRDefault="009E2E23"/>
    <w:sectPr w:rsidR="009E2E23" w:rsidSect="00741A5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76B" w:rsidRDefault="0079076B" w:rsidP="00FF03B0">
      <w:pPr>
        <w:spacing w:after="0" w:line="240" w:lineRule="auto"/>
      </w:pPr>
      <w:r>
        <w:separator/>
      </w:r>
    </w:p>
  </w:endnote>
  <w:endnote w:type="continuationSeparator" w:id="0">
    <w:p w:rsidR="0079076B" w:rsidRDefault="0079076B" w:rsidP="00FF0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196" w:rsidRDefault="00D931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76B" w:rsidRDefault="0079076B" w:rsidP="00741A5E">
    <w:pPr>
      <w:pStyle w:val="Footer"/>
      <w:pBdr>
        <w:top w:val="single" w:sz="4" w:space="1" w:color="auto"/>
      </w:pBdr>
    </w:pPr>
    <w:r>
      <w:t xml:space="preserve">IGIS submission to </w:t>
    </w:r>
    <w:r w:rsidR="00620F66">
      <w:t xml:space="preserve">the Moss Review of the </w:t>
    </w:r>
    <w:r w:rsidR="00620F66">
      <w:rPr>
        <w:i/>
      </w:rPr>
      <w:t>Public Interest Disclosure Act 2013</w:t>
    </w:r>
    <w:r>
      <w:tab/>
    </w:r>
    <w:r>
      <w:fldChar w:fldCharType="begin"/>
    </w:r>
    <w:r>
      <w:instrText xml:space="preserve"> PAGE   \* MERGEFORMAT </w:instrText>
    </w:r>
    <w:r>
      <w:fldChar w:fldCharType="separate"/>
    </w:r>
    <w:r w:rsidR="006E390D">
      <w:rPr>
        <w:noProof/>
      </w:rPr>
      <w:t>11</w:t>
    </w:r>
    <w:r>
      <w:rPr>
        <w:noProof/>
      </w:rPr>
      <w:fldChar w:fldCharType="end"/>
    </w:r>
  </w:p>
  <w:p w:rsidR="0079076B" w:rsidRDefault="007907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196" w:rsidRDefault="00D931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76B" w:rsidRDefault="0079076B" w:rsidP="00FF03B0">
      <w:pPr>
        <w:spacing w:after="0" w:line="240" w:lineRule="auto"/>
      </w:pPr>
      <w:r>
        <w:separator/>
      </w:r>
    </w:p>
  </w:footnote>
  <w:footnote w:type="continuationSeparator" w:id="0">
    <w:p w:rsidR="0079076B" w:rsidRDefault="0079076B" w:rsidP="00FF03B0">
      <w:pPr>
        <w:spacing w:after="0" w:line="240" w:lineRule="auto"/>
      </w:pPr>
      <w:r>
        <w:continuationSeparator/>
      </w:r>
    </w:p>
  </w:footnote>
  <w:footnote w:id="1">
    <w:p w:rsidR="00314448" w:rsidRDefault="00314448" w:rsidP="00314448">
      <w:pPr>
        <w:pStyle w:val="FootnoteText"/>
      </w:pPr>
      <w:r>
        <w:rPr>
          <w:rStyle w:val="FootnoteReference"/>
        </w:rPr>
        <w:footnoteRef/>
      </w:r>
      <w:r>
        <w:t xml:space="preserve"> The term ‘disclosable conduct’ is defined in a table </w:t>
      </w:r>
      <w:r w:rsidR="00D273C7">
        <w:t>in</w:t>
      </w:r>
      <w:r>
        <w:t xml:space="preserve"> section 29 of the PID Act.</w:t>
      </w:r>
    </w:p>
  </w:footnote>
  <w:footnote w:id="2">
    <w:p w:rsidR="00314448" w:rsidRPr="00683373" w:rsidRDefault="00314448" w:rsidP="00314448">
      <w:pPr>
        <w:pStyle w:val="FootnoteText"/>
        <w:rPr>
          <w:sz w:val="16"/>
          <w:szCs w:val="16"/>
        </w:rPr>
      </w:pPr>
      <w:r>
        <w:rPr>
          <w:rStyle w:val="FootnoteReference"/>
        </w:rPr>
        <w:footnoteRef/>
      </w:r>
      <w:r>
        <w:t xml:space="preserve"> ‘</w:t>
      </w:r>
      <w:r w:rsidRPr="00683373">
        <w:rPr>
          <w:sz w:val="16"/>
          <w:szCs w:val="16"/>
        </w:rPr>
        <w:t xml:space="preserve">Maladministration’ includes conduct that is ‘based in whole or in part on improper motives’ </w:t>
      </w:r>
      <w:r>
        <w:rPr>
          <w:sz w:val="16"/>
          <w:szCs w:val="16"/>
        </w:rPr>
        <w:t>or is ‘unreasonable, unjust or oppressive’ – s.29 PID Act, table item 4.</w:t>
      </w:r>
    </w:p>
  </w:footnote>
  <w:footnote w:id="3">
    <w:p w:rsidR="00314448" w:rsidRPr="007324A9" w:rsidRDefault="00314448" w:rsidP="00314448">
      <w:pPr>
        <w:pStyle w:val="FootnoteText"/>
        <w:rPr>
          <w:sz w:val="16"/>
          <w:szCs w:val="16"/>
        </w:rPr>
      </w:pPr>
      <w:r>
        <w:rPr>
          <w:rStyle w:val="FootnoteReference"/>
        </w:rPr>
        <w:footnoteRef/>
      </w:r>
      <w:r>
        <w:t xml:space="preserve"> </w:t>
      </w:r>
      <w:r w:rsidRPr="007324A9">
        <w:rPr>
          <w:sz w:val="16"/>
          <w:szCs w:val="16"/>
        </w:rPr>
        <w:t>Code of Conduct obligations on APS employees include behaving in a way that upholds the APS Values and APS Employment Principles, behaving honestly and with integrity, acting with care and diligence, treating everyone with respect and courtesy, and without harassment (s.13(1)-(3) &amp; (11) Public Service 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196" w:rsidRDefault="00D931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196" w:rsidRDefault="00D931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196" w:rsidRDefault="00D931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37D7"/>
    <w:multiLevelType w:val="hybridMultilevel"/>
    <w:tmpl w:val="05F84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8165F7"/>
    <w:multiLevelType w:val="hybridMultilevel"/>
    <w:tmpl w:val="E7EAB230"/>
    <w:lvl w:ilvl="0" w:tplc="38882708">
      <w:start w:val="1"/>
      <w:numFmt w:val="lowerLetter"/>
      <w:lvlText w:val="(%1)"/>
      <w:lvlJc w:val="left"/>
      <w:pPr>
        <w:ind w:left="766" w:hanging="360"/>
      </w:pPr>
      <w:rPr>
        <w:rFonts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
    <w:nsid w:val="07EF160C"/>
    <w:multiLevelType w:val="hybridMultilevel"/>
    <w:tmpl w:val="246A7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EA48B6"/>
    <w:multiLevelType w:val="hybridMultilevel"/>
    <w:tmpl w:val="7804C0B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4">
    <w:nsid w:val="15DA7482"/>
    <w:multiLevelType w:val="hybridMultilevel"/>
    <w:tmpl w:val="BC046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78B6E44"/>
    <w:multiLevelType w:val="hybridMultilevel"/>
    <w:tmpl w:val="11A8C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8023B60"/>
    <w:multiLevelType w:val="hybridMultilevel"/>
    <w:tmpl w:val="7B7CD412"/>
    <w:lvl w:ilvl="0" w:tplc="2D62680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1E4C6F6E"/>
    <w:multiLevelType w:val="hybridMultilevel"/>
    <w:tmpl w:val="290E4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4161831"/>
    <w:multiLevelType w:val="hybridMultilevel"/>
    <w:tmpl w:val="7ACA2F68"/>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9">
    <w:nsid w:val="29252AFF"/>
    <w:multiLevelType w:val="hybridMultilevel"/>
    <w:tmpl w:val="6354E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9AB45BE"/>
    <w:multiLevelType w:val="multilevel"/>
    <w:tmpl w:val="8D36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1E798F"/>
    <w:multiLevelType w:val="hybridMultilevel"/>
    <w:tmpl w:val="73BA32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3643671B"/>
    <w:multiLevelType w:val="multilevel"/>
    <w:tmpl w:val="8FBE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FF178F"/>
    <w:multiLevelType w:val="hybridMultilevel"/>
    <w:tmpl w:val="8E5CF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7450195"/>
    <w:multiLevelType w:val="hybridMultilevel"/>
    <w:tmpl w:val="B71A046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nsid w:val="390E105E"/>
    <w:multiLevelType w:val="hybridMultilevel"/>
    <w:tmpl w:val="4E98B18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6">
    <w:nsid w:val="3A5E5C53"/>
    <w:multiLevelType w:val="hybridMultilevel"/>
    <w:tmpl w:val="4A24C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C636BD0"/>
    <w:multiLevelType w:val="hybridMultilevel"/>
    <w:tmpl w:val="BE9C1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FC62F2"/>
    <w:multiLevelType w:val="hybridMultilevel"/>
    <w:tmpl w:val="E1F29D7E"/>
    <w:lvl w:ilvl="0" w:tplc="388827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D5A3AFD"/>
    <w:multiLevelType w:val="hybridMultilevel"/>
    <w:tmpl w:val="1D7EBC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4D11927"/>
    <w:multiLevelType w:val="hybridMultilevel"/>
    <w:tmpl w:val="612433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542005D"/>
    <w:multiLevelType w:val="hybridMultilevel"/>
    <w:tmpl w:val="5A40B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6886574"/>
    <w:multiLevelType w:val="hybridMultilevel"/>
    <w:tmpl w:val="ACBE6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9171FC7"/>
    <w:multiLevelType w:val="hybridMultilevel"/>
    <w:tmpl w:val="AFCE2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E56B21"/>
    <w:multiLevelType w:val="hybridMultilevel"/>
    <w:tmpl w:val="2FFE6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0904EA3"/>
    <w:multiLevelType w:val="hybridMultilevel"/>
    <w:tmpl w:val="F89E8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4490460"/>
    <w:multiLevelType w:val="hybridMultilevel"/>
    <w:tmpl w:val="DCC62CDA"/>
    <w:lvl w:ilvl="0" w:tplc="34D07B90">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6DE5392E"/>
    <w:multiLevelType w:val="multilevel"/>
    <w:tmpl w:val="A99E9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E34D6A"/>
    <w:multiLevelType w:val="hybridMultilevel"/>
    <w:tmpl w:val="26E8E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417561C"/>
    <w:multiLevelType w:val="hybridMultilevel"/>
    <w:tmpl w:val="8AD46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50D4084"/>
    <w:multiLevelType w:val="multilevel"/>
    <w:tmpl w:val="733A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C713C3"/>
    <w:multiLevelType w:val="hybridMultilevel"/>
    <w:tmpl w:val="B6B82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7D73630"/>
    <w:multiLevelType w:val="hybridMultilevel"/>
    <w:tmpl w:val="3CAA9A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3"/>
  </w:num>
  <w:num w:numId="4">
    <w:abstractNumId w:val="11"/>
  </w:num>
  <w:num w:numId="5">
    <w:abstractNumId w:val="5"/>
  </w:num>
  <w:num w:numId="6">
    <w:abstractNumId w:val="21"/>
  </w:num>
  <w:num w:numId="7">
    <w:abstractNumId w:val="28"/>
  </w:num>
  <w:num w:numId="8">
    <w:abstractNumId w:val="14"/>
  </w:num>
  <w:num w:numId="9">
    <w:abstractNumId w:val="16"/>
  </w:num>
  <w:num w:numId="10">
    <w:abstractNumId w:val="0"/>
  </w:num>
  <w:num w:numId="11">
    <w:abstractNumId w:val="32"/>
  </w:num>
  <w:num w:numId="12">
    <w:abstractNumId w:val="6"/>
  </w:num>
  <w:num w:numId="13">
    <w:abstractNumId w:val="15"/>
  </w:num>
  <w:num w:numId="14">
    <w:abstractNumId w:val="3"/>
  </w:num>
  <w:num w:numId="15">
    <w:abstractNumId w:val="23"/>
  </w:num>
  <w:num w:numId="16">
    <w:abstractNumId w:val="20"/>
  </w:num>
  <w:num w:numId="17">
    <w:abstractNumId w:val="25"/>
  </w:num>
  <w:num w:numId="18">
    <w:abstractNumId w:val="7"/>
  </w:num>
  <w:num w:numId="19">
    <w:abstractNumId w:val="19"/>
  </w:num>
  <w:num w:numId="20">
    <w:abstractNumId w:val="24"/>
  </w:num>
  <w:num w:numId="21">
    <w:abstractNumId w:val="31"/>
  </w:num>
  <w:num w:numId="22">
    <w:abstractNumId w:val="12"/>
  </w:num>
  <w:num w:numId="23">
    <w:abstractNumId w:val="17"/>
  </w:num>
  <w:num w:numId="24">
    <w:abstractNumId w:val="22"/>
  </w:num>
  <w:num w:numId="25">
    <w:abstractNumId w:val="10"/>
  </w:num>
  <w:num w:numId="26">
    <w:abstractNumId w:val="30"/>
  </w:num>
  <w:num w:numId="27">
    <w:abstractNumId w:val="27"/>
  </w:num>
  <w:num w:numId="28">
    <w:abstractNumId w:val="8"/>
  </w:num>
  <w:num w:numId="29">
    <w:abstractNumId w:val="26"/>
  </w:num>
  <w:num w:numId="30">
    <w:abstractNumId w:val="18"/>
  </w:num>
  <w:num w:numId="31">
    <w:abstractNumId w:val="1"/>
  </w:num>
  <w:num w:numId="32">
    <w:abstractNumId w:val="29"/>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trackRevisions/>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3B0"/>
    <w:rsid w:val="00052E50"/>
    <w:rsid w:val="00085806"/>
    <w:rsid w:val="000A3673"/>
    <w:rsid w:val="000C55FE"/>
    <w:rsid w:val="000F5CBA"/>
    <w:rsid w:val="001006C4"/>
    <w:rsid w:val="001024B0"/>
    <w:rsid w:val="00143135"/>
    <w:rsid w:val="0019271E"/>
    <w:rsid w:val="001A7F76"/>
    <w:rsid w:val="00213E7A"/>
    <w:rsid w:val="00236875"/>
    <w:rsid w:val="002928C6"/>
    <w:rsid w:val="002C1428"/>
    <w:rsid w:val="002D2695"/>
    <w:rsid w:val="002D394D"/>
    <w:rsid w:val="00306DCD"/>
    <w:rsid w:val="00314448"/>
    <w:rsid w:val="00360BD7"/>
    <w:rsid w:val="00396787"/>
    <w:rsid w:val="003A57F1"/>
    <w:rsid w:val="003D6BCC"/>
    <w:rsid w:val="004125EE"/>
    <w:rsid w:val="004B2E9C"/>
    <w:rsid w:val="00531513"/>
    <w:rsid w:val="00533469"/>
    <w:rsid w:val="00536255"/>
    <w:rsid w:val="00596298"/>
    <w:rsid w:val="005C1F65"/>
    <w:rsid w:val="005F1D92"/>
    <w:rsid w:val="005F3D79"/>
    <w:rsid w:val="005F525D"/>
    <w:rsid w:val="006128E6"/>
    <w:rsid w:val="00620F66"/>
    <w:rsid w:val="00624D2E"/>
    <w:rsid w:val="00641020"/>
    <w:rsid w:val="006779D1"/>
    <w:rsid w:val="00685DD3"/>
    <w:rsid w:val="006A3AF2"/>
    <w:rsid w:val="006C114F"/>
    <w:rsid w:val="006D152A"/>
    <w:rsid w:val="006D7070"/>
    <w:rsid w:val="006E390D"/>
    <w:rsid w:val="007251C0"/>
    <w:rsid w:val="00731A9E"/>
    <w:rsid w:val="00741A5E"/>
    <w:rsid w:val="00782AD0"/>
    <w:rsid w:val="0079076B"/>
    <w:rsid w:val="00790CFF"/>
    <w:rsid w:val="007C0FF4"/>
    <w:rsid w:val="00842772"/>
    <w:rsid w:val="00870C17"/>
    <w:rsid w:val="00881922"/>
    <w:rsid w:val="00892BD0"/>
    <w:rsid w:val="008A4EB1"/>
    <w:rsid w:val="008C6C31"/>
    <w:rsid w:val="009956CD"/>
    <w:rsid w:val="009A187F"/>
    <w:rsid w:val="009D2C44"/>
    <w:rsid w:val="009E2E23"/>
    <w:rsid w:val="009F24EB"/>
    <w:rsid w:val="00A05E9B"/>
    <w:rsid w:val="00A2783B"/>
    <w:rsid w:val="00A5315C"/>
    <w:rsid w:val="00AB1A71"/>
    <w:rsid w:val="00AF142C"/>
    <w:rsid w:val="00AF646E"/>
    <w:rsid w:val="00B14AB9"/>
    <w:rsid w:val="00BE6989"/>
    <w:rsid w:val="00C03F07"/>
    <w:rsid w:val="00CC06BF"/>
    <w:rsid w:val="00CF76BA"/>
    <w:rsid w:val="00D273C7"/>
    <w:rsid w:val="00D93196"/>
    <w:rsid w:val="00DA5062"/>
    <w:rsid w:val="00DB5928"/>
    <w:rsid w:val="00E034FE"/>
    <w:rsid w:val="00E13136"/>
    <w:rsid w:val="00E60318"/>
    <w:rsid w:val="00E63C18"/>
    <w:rsid w:val="00E8338E"/>
    <w:rsid w:val="00EB2955"/>
    <w:rsid w:val="00EB3508"/>
    <w:rsid w:val="00EC4B4E"/>
    <w:rsid w:val="00ED4907"/>
    <w:rsid w:val="00EF5A84"/>
    <w:rsid w:val="00F35C22"/>
    <w:rsid w:val="00FA4111"/>
    <w:rsid w:val="00FE2AE4"/>
    <w:rsid w:val="00FF03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3B0"/>
  </w:style>
  <w:style w:type="paragraph" w:styleId="Heading1">
    <w:name w:val="heading 1"/>
    <w:basedOn w:val="Normal"/>
    <w:next w:val="Normal"/>
    <w:link w:val="Heading1Char"/>
    <w:uiPriority w:val="9"/>
    <w:qFormat/>
    <w:rsid w:val="00FF03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03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03B0"/>
    <w:pPr>
      <w:keepNext/>
      <w:keepLines/>
      <w:spacing w:before="200" w:after="0"/>
      <w:outlineLvl w:val="2"/>
    </w:pPr>
    <w:rPr>
      <w:rFonts w:asciiTheme="majorHAnsi" w:eastAsiaTheme="majorEastAsia" w:hAnsiTheme="majorHAnsi" w:cstheme="majorBidi"/>
      <w:b/>
      <w:bCs/>
      <w:color w:val="4F81BD" w:themeColor="accent1"/>
      <w:lang w:eastAsia="en-AU"/>
    </w:rPr>
  </w:style>
  <w:style w:type="paragraph" w:styleId="Heading4">
    <w:name w:val="heading 4"/>
    <w:basedOn w:val="Normal"/>
    <w:next w:val="Normal"/>
    <w:link w:val="Heading4Char"/>
    <w:uiPriority w:val="9"/>
    <w:unhideWhenUsed/>
    <w:qFormat/>
    <w:rsid w:val="00FF03B0"/>
    <w:pPr>
      <w:keepNext/>
      <w:keepLines/>
      <w:spacing w:before="200" w:after="0"/>
      <w:outlineLvl w:val="3"/>
    </w:pPr>
    <w:rPr>
      <w:rFonts w:asciiTheme="majorHAnsi" w:eastAsiaTheme="majorEastAsia" w:hAnsiTheme="majorHAnsi" w:cstheme="majorBidi"/>
      <w:b/>
      <w:bCs/>
      <w:i/>
      <w:iCs/>
      <w:color w:val="4F81BD" w:themeColor="accent1"/>
      <w:lang w:eastAsia="en-AU"/>
    </w:rPr>
  </w:style>
  <w:style w:type="paragraph" w:styleId="Heading5">
    <w:name w:val="heading 5"/>
    <w:basedOn w:val="Normal"/>
    <w:next w:val="Normal"/>
    <w:link w:val="Heading5Char"/>
    <w:uiPriority w:val="9"/>
    <w:unhideWhenUsed/>
    <w:qFormat/>
    <w:rsid w:val="00FF03B0"/>
    <w:pPr>
      <w:keepNext/>
      <w:keepLines/>
      <w:spacing w:before="200" w:after="0"/>
      <w:outlineLvl w:val="4"/>
    </w:pPr>
    <w:rPr>
      <w:rFonts w:asciiTheme="majorHAnsi" w:eastAsiaTheme="majorEastAsia" w:hAnsiTheme="majorHAnsi" w:cstheme="majorBidi"/>
      <w:color w:val="243F60" w:themeColor="accent1" w:themeShade="7F"/>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3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03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03B0"/>
    <w:rPr>
      <w:rFonts w:asciiTheme="majorHAnsi" w:eastAsiaTheme="majorEastAsia" w:hAnsiTheme="majorHAnsi" w:cstheme="majorBidi"/>
      <w:b/>
      <w:bCs/>
      <w:color w:val="4F81BD" w:themeColor="accent1"/>
      <w:lang w:eastAsia="en-AU"/>
    </w:rPr>
  </w:style>
  <w:style w:type="character" w:customStyle="1" w:styleId="Heading4Char">
    <w:name w:val="Heading 4 Char"/>
    <w:basedOn w:val="DefaultParagraphFont"/>
    <w:link w:val="Heading4"/>
    <w:uiPriority w:val="9"/>
    <w:rsid w:val="00FF03B0"/>
    <w:rPr>
      <w:rFonts w:asciiTheme="majorHAnsi" w:eastAsiaTheme="majorEastAsia" w:hAnsiTheme="majorHAnsi" w:cstheme="majorBidi"/>
      <w:b/>
      <w:bCs/>
      <w:i/>
      <w:iCs/>
      <w:color w:val="4F81BD" w:themeColor="accent1"/>
      <w:lang w:eastAsia="en-AU"/>
    </w:rPr>
  </w:style>
  <w:style w:type="character" w:customStyle="1" w:styleId="Heading5Char">
    <w:name w:val="Heading 5 Char"/>
    <w:basedOn w:val="DefaultParagraphFont"/>
    <w:link w:val="Heading5"/>
    <w:uiPriority w:val="9"/>
    <w:rsid w:val="00FF03B0"/>
    <w:rPr>
      <w:rFonts w:asciiTheme="majorHAnsi" w:eastAsiaTheme="majorEastAsia" w:hAnsiTheme="majorHAnsi" w:cstheme="majorBidi"/>
      <w:color w:val="243F60" w:themeColor="accent1" w:themeShade="7F"/>
      <w:lang w:eastAsia="en-AU"/>
    </w:rPr>
  </w:style>
  <w:style w:type="paragraph" w:styleId="BalloonText">
    <w:name w:val="Balloon Text"/>
    <w:basedOn w:val="Normal"/>
    <w:link w:val="BalloonTextChar"/>
    <w:uiPriority w:val="99"/>
    <w:semiHidden/>
    <w:unhideWhenUsed/>
    <w:rsid w:val="00FF0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3B0"/>
    <w:rPr>
      <w:rFonts w:ascii="Tahoma" w:hAnsi="Tahoma" w:cs="Tahoma"/>
      <w:sz w:val="16"/>
      <w:szCs w:val="16"/>
    </w:rPr>
  </w:style>
  <w:style w:type="character" w:styleId="CommentReference">
    <w:name w:val="annotation reference"/>
    <w:basedOn w:val="DefaultParagraphFont"/>
    <w:uiPriority w:val="99"/>
    <w:semiHidden/>
    <w:unhideWhenUsed/>
    <w:rsid w:val="00FF03B0"/>
    <w:rPr>
      <w:sz w:val="16"/>
      <w:szCs w:val="16"/>
    </w:rPr>
  </w:style>
  <w:style w:type="paragraph" w:styleId="CommentText">
    <w:name w:val="annotation text"/>
    <w:basedOn w:val="Normal"/>
    <w:link w:val="CommentTextChar"/>
    <w:uiPriority w:val="99"/>
    <w:semiHidden/>
    <w:unhideWhenUsed/>
    <w:rsid w:val="00FF03B0"/>
    <w:pPr>
      <w:spacing w:line="240" w:lineRule="auto"/>
    </w:pPr>
    <w:rPr>
      <w:sz w:val="20"/>
      <w:szCs w:val="20"/>
    </w:rPr>
  </w:style>
  <w:style w:type="character" w:customStyle="1" w:styleId="CommentTextChar">
    <w:name w:val="Comment Text Char"/>
    <w:basedOn w:val="DefaultParagraphFont"/>
    <w:link w:val="CommentText"/>
    <w:uiPriority w:val="99"/>
    <w:semiHidden/>
    <w:rsid w:val="00FF03B0"/>
    <w:rPr>
      <w:sz w:val="20"/>
      <w:szCs w:val="20"/>
    </w:rPr>
  </w:style>
  <w:style w:type="paragraph" w:styleId="CommentSubject">
    <w:name w:val="annotation subject"/>
    <w:basedOn w:val="CommentText"/>
    <w:next w:val="CommentText"/>
    <w:link w:val="CommentSubjectChar"/>
    <w:uiPriority w:val="99"/>
    <w:semiHidden/>
    <w:unhideWhenUsed/>
    <w:rsid w:val="00FF03B0"/>
    <w:rPr>
      <w:b/>
      <w:bCs/>
    </w:rPr>
  </w:style>
  <w:style w:type="character" w:customStyle="1" w:styleId="CommentSubjectChar">
    <w:name w:val="Comment Subject Char"/>
    <w:basedOn w:val="CommentTextChar"/>
    <w:link w:val="CommentSubject"/>
    <w:uiPriority w:val="99"/>
    <w:semiHidden/>
    <w:rsid w:val="00FF03B0"/>
    <w:rPr>
      <w:b/>
      <w:bCs/>
      <w:sz w:val="20"/>
      <w:szCs w:val="20"/>
    </w:rPr>
  </w:style>
  <w:style w:type="paragraph" w:styleId="ListParagraph">
    <w:name w:val="List Paragraph"/>
    <w:basedOn w:val="Normal"/>
    <w:uiPriority w:val="34"/>
    <w:qFormat/>
    <w:rsid w:val="00FF03B0"/>
    <w:pPr>
      <w:spacing w:after="120"/>
      <w:ind w:left="720"/>
      <w:contextualSpacing/>
    </w:pPr>
    <w:rPr>
      <w:lang w:eastAsia="en-AU"/>
    </w:rPr>
  </w:style>
  <w:style w:type="paragraph" w:styleId="TOC1">
    <w:name w:val="toc 1"/>
    <w:basedOn w:val="Normal"/>
    <w:next w:val="Normal"/>
    <w:autoRedefine/>
    <w:uiPriority w:val="39"/>
    <w:unhideWhenUsed/>
    <w:qFormat/>
    <w:rsid w:val="00FF03B0"/>
    <w:pPr>
      <w:tabs>
        <w:tab w:val="right" w:leader="dot" w:pos="9016"/>
      </w:tabs>
      <w:spacing w:after="60"/>
    </w:pPr>
  </w:style>
  <w:style w:type="paragraph" w:styleId="TOC2">
    <w:name w:val="toc 2"/>
    <w:basedOn w:val="Normal"/>
    <w:next w:val="Normal"/>
    <w:autoRedefine/>
    <w:uiPriority w:val="39"/>
    <w:unhideWhenUsed/>
    <w:qFormat/>
    <w:rsid w:val="00FF03B0"/>
    <w:pPr>
      <w:spacing w:after="100"/>
      <w:ind w:left="220"/>
    </w:pPr>
  </w:style>
  <w:style w:type="character" w:styleId="Hyperlink">
    <w:name w:val="Hyperlink"/>
    <w:basedOn w:val="DefaultParagraphFont"/>
    <w:uiPriority w:val="99"/>
    <w:unhideWhenUsed/>
    <w:rsid w:val="00FF03B0"/>
    <w:rPr>
      <w:color w:val="0000FF" w:themeColor="hyperlink"/>
      <w:u w:val="single"/>
    </w:rPr>
  </w:style>
  <w:style w:type="paragraph" w:styleId="FootnoteText">
    <w:name w:val="footnote text"/>
    <w:basedOn w:val="Normal"/>
    <w:link w:val="FootnoteTextChar"/>
    <w:uiPriority w:val="99"/>
    <w:semiHidden/>
    <w:unhideWhenUsed/>
    <w:rsid w:val="00FF03B0"/>
    <w:pPr>
      <w:spacing w:after="0" w:line="240" w:lineRule="auto"/>
    </w:pPr>
    <w:rPr>
      <w:sz w:val="20"/>
      <w:szCs w:val="20"/>
      <w:lang w:eastAsia="en-AU"/>
    </w:rPr>
  </w:style>
  <w:style w:type="character" w:customStyle="1" w:styleId="FootnoteTextChar">
    <w:name w:val="Footnote Text Char"/>
    <w:basedOn w:val="DefaultParagraphFont"/>
    <w:link w:val="FootnoteText"/>
    <w:uiPriority w:val="99"/>
    <w:semiHidden/>
    <w:rsid w:val="00FF03B0"/>
    <w:rPr>
      <w:sz w:val="20"/>
      <w:szCs w:val="20"/>
      <w:lang w:eastAsia="en-AU"/>
    </w:rPr>
  </w:style>
  <w:style w:type="character" w:styleId="FootnoteReference">
    <w:name w:val="footnote reference"/>
    <w:basedOn w:val="DefaultParagraphFont"/>
    <w:uiPriority w:val="99"/>
    <w:semiHidden/>
    <w:unhideWhenUsed/>
    <w:rsid w:val="00FF03B0"/>
    <w:rPr>
      <w:vertAlign w:val="superscript"/>
    </w:rPr>
  </w:style>
  <w:style w:type="paragraph" w:styleId="Header">
    <w:name w:val="header"/>
    <w:basedOn w:val="Normal"/>
    <w:link w:val="HeaderChar"/>
    <w:uiPriority w:val="99"/>
    <w:unhideWhenUsed/>
    <w:rsid w:val="00FF03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3B0"/>
  </w:style>
  <w:style w:type="paragraph" w:styleId="Footer">
    <w:name w:val="footer"/>
    <w:basedOn w:val="Normal"/>
    <w:link w:val="FooterChar"/>
    <w:uiPriority w:val="99"/>
    <w:unhideWhenUsed/>
    <w:rsid w:val="00FF03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3B0"/>
  </w:style>
  <w:style w:type="paragraph" w:styleId="NormalWeb">
    <w:name w:val="Normal (Web)"/>
    <w:basedOn w:val="Normal"/>
    <w:uiPriority w:val="99"/>
    <w:semiHidden/>
    <w:unhideWhenUsed/>
    <w:rsid w:val="00FF03B0"/>
    <w:pPr>
      <w:spacing w:before="100" w:beforeAutospacing="1" w:after="100" w:afterAutospacing="1" w:line="240" w:lineRule="auto"/>
    </w:pPr>
    <w:rPr>
      <w:rFonts w:ascii="Times New Roman" w:hAnsi="Times New Roman" w:cs="Times New Roman"/>
      <w:sz w:val="24"/>
      <w:szCs w:val="24"/>
      <w:lang w:eastAsia="en-AU"/>
    </w:rPr>
  </w:style>
  <w:style w:type="paragraph" w:styleId="TOC3">
    <w:name w:val="toc 3"/>
    <w:basedOn w:val="Normal"/>
    <w:next w:val="Normal"/>
    <w:autoRedefine/>
    <w:uiPriority w:val="39"/>
    <w:unhideWhenUsed/>
    <w:qFormat/>
    <w:rsid w:val="00FF03B0"/>
    <w:pPr>
      <w:spacing w:after="100"/>
      <w:ind w:left="440"/>
    </w:pPr>
  </w:style>
  <w:style w:type="paragraph" w:styleId="TOCHeading">
    <w:name w:val="TOC Heading"/>
    <w:basedOn w:val="Heading1"/>
    <w:next w:val="Normal"/>
    <w:uiPriority w:val="39"/>
    <w:semiHidden/>
    <w:unhideWhenUsed/>
    <w:qFormat/>
    <w:rsid w:val="000C55FE"/>
    <w:pPr>
      <w:outlineLvl w:val="9"/>
    </w:pPr>
    <w:rPr>
      <w:lang w:val="en-US" w:eastAsia="ja-JP"/>
    </w:rPr>
  </w:style>
  <w:style w:type="paragraph" w:styleId="BodyText">
    <w:name w:val="Body Text"/>
    <w:basedOn w:val="Normal"/>
    <w:link w:val="BodyTextChar"/>
    <w:uiPriority w:val="1"/>
    <w:qFormat/>
    <w:rsid w:val="00E8338E"/>
    <w:pPr>
      <w:widowControl w:val="0"/>
      <w:spacing w:before="200" w:after="0" w:line="240" w:lineRule="auto"/>
      <w:ind w:left="1701"/>
    </w:pPr>
    <w:rPr>
      <w:rFonts w:ascii="Arial" w:eastAsia="Arial" w:hAnsi="Arial"/>
      <w:sz w:val="19"/>
      <w:szCs w:val="19"/>
    </w:rPr>
  </w:style>
  <w:style w:type="character" w:customStyle="1" w:styleId="BodyTextChar">
    <w:name w:val="Body Text Char"/>
    <w:basedOn w:val="DefaultParagraphFont"/>
    <w:link w:val="BodyText"/>
    <w:uiPriority w:val="1"/>
    <w:rsid w:val="00E8338E"/>
    <w:rPr>
      <w:rFonts w:ascii="Arial" w:eastAsia="Arial" w:hAnsi="Arial"/>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3B0"/>
  </w:style>
  <w:style w:type="paragraph" w:styleId="Heading1">
    <w:name w:val="heading 1"/>
    <w:basedOn w:val="Normal"/>
    <w:next w:val="Normal"/>
    <w:link w:val="Heading1Char"/>
    <w:uiPriority w:val="9"/>
    <w:qFormat/>
    <w:rsid w:val="00FF03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03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03B0"/>
    <w:pPr>
      <w:keepNext/>
      <w:keepLines/>
      <w:spacing w:before="200" w:after="0"/>
      <w:outlineLvl w:val="2"/>
    </w:pPr>
    <w:rPr>
      <w:rFonts w:asciiTheme="majorHAnsi" w:eastAsiaTheme="majorEastAsia" w:hAnsiTheme="majorHAnsi" w:cstheme="majorBidi"/>
      <w:b/>
      <w:bCs/>
      <w:color w:val="4F81BD" w:themeColor="accent1"/>
      <w:lang w:eastAsia="en-AU"/>
    </w:rPr>
  </w:style>
  <w:style w:type="paragraph" w:styleId="Heading4">
    <w:name w:val="heading 4"/>
    <w:basedOn w:val="Normal"/>
    <w:next w:val="Normal"/>
    <w:link w:val="Heading4Char"/>
    <w:uiPriority w:val="9"/>
    <w:unhideWhenUsed/>
    <w:qFormat/>
    <w:rsid w:val="00FF03B0"/>
    <w:pPr>
      <w:keepNext/>
      <w:keepLines/>
      <w:spacing w:before="200" w:after="0"/>
      <w:outlineLvl w:val="3"/>
    </w:pPr>
    <w:rPr>
      <w:rFonts w:asciiTheme="majorHAnsi" w:eastAsiaTheme="majorEastAsia" w:hAnsiTheme="majorHAnsi" w:cstheme="majorBidi"/>
      <w:b/>
      <w:bCs/>
      <w:i/>
      <w:iCs/>
      <w:color w:val="4F81BD" w:themeColor="accent1"/>
      <w:lang w:eastAsia="en-AU"/>
    </w:rPr>
  </w:style>
  <w:style w:type="paragraph" w:styleId="Heading5">
    <w:name w:val="heading 5"/>
    <w:basedOn w:val="Normal"/>
    <w:next w:val="Normal"/>
    <w:link w:val="Heading5Char"/>
    <w:uiPriority w:val="9"/>
    <w:unhideWhenUsed/>
    <w:qFormat/>
    <w:rsid w:val="00FF03B0"/>
    <w:pPr>
      <w:keepNext/>
      <w:keepLines/>
      <w:spacing w:before="200" w:after="0"/>
      <w:outlineLvl w:val="4"/>
    </w:pPr>
    <w:rPr>
      <w:rFonts w:asciiTheme="majorHAnsi" w:eastAsiaTheme="majorEastAsia" w:hAnsiTheme="majorHAnsi" w:cstheme="majorBidi"/>
      <w:color w:val="243F60" w:themeColor="accent1" w:themeShade="7F"/>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3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03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03B0"/>
    <w:rPr>
      <w:rFonts w:asciiTheme="majorHAnsi" w:eastAsiaTheme="majorEastAsia" w:hAnsiTheme="majorHAnsi" w:cstheme="majorBidi"/>
      <w:b/>
      <w:bCs/>
      <w:color w:val="4F81BD" w:themeColor="accent1"/>
      <w:lang w:eastAsia="en-AU"/>
    </w:rPr>
  </w:style>
  <w:style w:type="character" w:customStyle="1" w:styleId="Heading4Char">
    <w:name w:val="Heading 4 Char"/>
    <w:basedOn w:val="DefaultParagraphFont"/>
    <w:link w:val="Heading4"/>
    <w:uiPriority w:val="9"/>
    <w:rsid w:val="00FF03B0"/>
    <w:rPr>
      <w:rFonts w:asciiTheme="majorHAnsi" w:eastAsiaTheme="majorEastAsia" w:hAnsiTheme="majorHAnsi" w:cstheme="majorBidi"/>
      <w:b/>
      <w:bCs/>
      <w:i/>
      <w:iCs/>
      <w:color w:val="4F81BD" w:themeColor="accent1"/>
      <w:lang w:eastAsia="en-AU"/>
    </w:rPr>
  </w:style>
  <w:style w:type="character" w:customStyle="1" w:styleId="Heading5Char">
    <w:name w:val="Heading 5 Char"/>
    <w:basedOn w:val="DefaultParagraphFont"/>
    <w:link w:val="Heading5"/>
    <w:uiPriority w:val="9"/>
    <w:rsid w:val="00FF03B0"/>
    <w:rPr>
      <w:rFonts w:asciiTheme="majorHAnsi" w:eastAsiaTheme="majorEastAsia" w:hAnsiTheme="majorHAnsi" w:cstheme="majorBidi"/>
      <w:color w:val="243F60" w:themeColor="accent1" w:themeShade="7F"/>
      <w:lang w:eastAsia="en-AU"/>
    </w:rPr>
  </w:style>
  <w:style w:type="paragraph" w:styleId="BalloonText">
    <w:name w:val="Balloon Text"/>
    <w:basedOn w:val="Normal"/>
    <w:link w:val="BalloonTextChar"/>
    <w:uiPriority w:val="99"/>
    <w:semiHidden/>
    <w:unhideWhenUsed/>
    <w:rsid w:val="00FF0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3B0"/>
    <w:rPr>
      <w:rFonts w:ascii="Tahoma" w:hAnsi="Tahoma" w:cs="Tahoma"/>
      <w:sz w:val="16"/>
      <w:szCs w:val="16"/>
    </w:rPr>
  </w:style>
  <w:style w:type="character" w:styleId="CommentReference">
    <w:name w:val="annotation reference"/>
    <w:basedOn w:val="DefaultParagraphFont"/>
    <w:uiPriority w:val="99"/>
    <w:semiHidden/>
    <w:unhideWhenUsed/>
    <w:rsid w:val="00FF03B0"/>
    <w:rPr>
      <w:sz w:val="16"/>
      <w:szCs w:val="16"/>
    </w:rPr>
  </w:style>
  <w:style w:type="paragraph" w:styleId="CommentText">
    <w:name w:val="annotation text"/>
    <w:basedOn w:val="Normal"/>
    <w:link w:val="CommentTextChar"/>
    <w:uiPriority w:val="99"/>
    <w:semiHidden/>
    <w:unhideWhenUsed/>
    <w:rsid w:val="00FF03B0"/>
    <w:pPr>
      <w:spacing w:line="240" w:lineRule="auto"/>
    </w:pPr>
    <w:rPr>
      <w:sz w:val="20"/>
      <w:szCs w:val="20"/>
    </w:rPr>
  </w:style>
  <w:style w:type="character" w:customStyle="1" w:styleId="CommentTextChar">
    <w:name w:val="Comment Text Char"/>
    <w:basedOn w:val="DefaultParagraphFont"/>
    <w:link w:val="CommentText"/>
    <w:uiPriority w:val="99"/>
    <w:semiHidden/>
    <w:rsid w:val="00FF03B0"/>
    <w:rPr>
      <w:sz w:val="20"/>
      <w:szCs w:val="20"/>
    </w:rPr>
  </w:style>
  <w:style w:type="paragraph" w:styleId="CommentSubject">
    <w:name w:val="annotation subject"/>
    <w:basedOn w:val="CommentText"/>
    <w:next w:val="CommentText"/>
    <w:link w:val="CommentSubjectChar"/>
    <w:uiPriority w:val="99"/>
    <w:semiHidden/>
    <w:unhideWhenUsed/>
    <w:rsid w:val="00FF03B0"/>
    <w:rPr>
      <w:b/>
      <w:bCs/>
    </w:rPr>
  </w:style>
  <w:style w:type="character" w:customStyle="1" w:styleId="CommentSubjectChar">
    <w:name w:val="Comment Subject Char"/>
    <w:basedOn w:val="CommentTextChar"/>
    <w:link w:val="CommentSubject"/>
    <w:uiPriority w:val="99"/>
    <w:semiHidden/>
    <w:rsid w:val="00FF03B0"/>
    <w:rPr>
      <w:b/>
      <w:bCs/>
      <w:sz w:val="20"/>
      <w:szCs w:val="20"/>
    </w:rPr>
  </w:style>
  <w:style w:type="paragraph" w:styleId="ListParagraph">
    <w:name w:val="List Paragraph"/>
    <w:basedOn w:val="Normal"/>
    <w:uiPriority w:val="34"/>
    <w:qFormat/>
    <w:rsid w:val="00FF03B0"/>
    <w:pPr>
      <w:spacing w:after="120"/>
      <w:ind w:left="720"/>
      <w:contextualSpacing/>
    </w:pPr>
    <w:rPr>
      <w:lang w:eastAsia="en-AU"/>
    </w:rPr>
  </w:style>
  <w:style w:type="paragraph" w:styleId="TOC1">
    <w:name w:val="toc 1"/>
    <w:basedOn w:val="Normal"/>
    <w:next w:val="Normal"/>
    <w:autoRedefine/>
    <w:uiPriority w:val="39"/>
    <w:unhideWhenUsed/>
    <w:qFormat/>
    <w:rsid w:val="00FF03B0"/>
    <w:pPr>
      <w:tabs>
        <w:tab w:val="right" w:leader="dot" w:pos="9016"/>
      </w:tabs>
      <w:spacing w:after="60"/>
    </w:pPr>
  </w:style>
  <w:style w:type="paragraph" w:styleId="TOC2">
    <w:name w:val="toc 2"/>
    <w:basedOn w:val="Normal"/>
    <w:next w:val="Normal"/>
    <w:autoRedefine/>
    <w:uiPriority w:val="39"/>
    <w:unhideWhenUsed/>
    <w:qFormat/>
    <w:rsid w:val="00FF03B0"/>
    <w:pPr>
      <w:spacing w:after="100"/>
      <w:ind w:left="220"/>
    </w:pPr>
  </w:style>
  <w:style w:type="character" w:styleId="Hyperlink">
    <w:name w:val="Hyperlink"/>
    <w:basedOn w:val="DefaultParagraphFont"/>
    <w:uiPriority w:val="99"/>
    <w:unhideWhenUsed/>
    <w:rsid w:val="00FF03B0"/>
    <w:rPr>
      <w:color w:val="0000FF" w:themeColor="hyperlink"/>
      <w:u w:val="single"/>
    </w:rPr>
  </w:style>
  <w:style w:type="paragraph" w:styleId="FootnoteText">
    <w:name w:val="footnote text"/>
    <w:basedOn w:val="Normal"/>
    <w:link w:val="FootnoteTextChar"/>
    <w:uiPriority w:val="99"/>
    <w:semiHidden/>
    <w:unhideWhenUsed/>
    <w:rsid w:val="00FF03B0"/>
    <w:pPr>
      <w:spacing w:after="0" w:line="240" w:lineRule="auto"/>
    </w:pPr>
    <w:rPr>
      <w:sz w:val="20"/>
      <w:szCs w:val="20"/>
      <w:lang w:eastAsia="en-AU"/>
    </w:rPr>
  </w:style>
  <w:style w:type="character" w:customStyle="1" w:styleId="FootnoteTextChar">
    <w:name w:val="Footnote Text Char"/>
    <w:basedOn w:val="DefaultParagraphFont"/>
    <w:link w:val="FootnoteText"/>
    <w:uiPriority w:val="99"/>
    <w:semiHidden/>
    <w:rsid w:val="00FF03B0"/>
    <w:rPr>
      <w:sz w:val="20"/>
      <w:szCs w:val="20"/>
      <w:lang w:eastAsia="en-AU"/>
    </w:rPr>
  </w:style>
  <w:style w:type="character" w:styleId="FootnoteReference">
    <w:name w:val="footnote reference"/>
    <w:basedOn w:val="DefaultParagraphFont"/>
    <w:uiPriority w:val="99"/>
    <w:semiHidden/>
    <w:unhideWhenUsed/>
    <w:rsid w:val="00FF03B0"/>
    <w:rPr>
      <w:vertAlign w:val="superscript"/>
    </w:rPr>
  </w:style>
  <w:style w:type="paragraph" w:styleId="Header">
    <w:name w:val="header"/>
    <w:basedOn w:val="Normal"/>
    <w:link w:val="HeaderChar"/>
    <w:uiPriority w:val="99"/>
    <w:unhideWhenUsed/>
    <w:rsid w:val="00FF03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3B0"/>
  </w:style>
  <w:style w:type="paragraph" w:styleId="Footer">
    <w:name w:val="footer"/>
    <w:basedOn w:val="Normal"/>
    <w:link w:val="FooterChar"/>
    <w:uiPriority w:val="99"/>
    <w:unhideWhenUsed/>
    <w:rsid w:val="00FF03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3B0"/>
  </w:style>
  <w:style w:type="paragraph" w:styleId="NormalWeb">
    <w:name w:val="Normal (Web)"/>
    <w:basedOn w:val="Normal"/>
    <w:uiPriority w:val="99"/>
    <w:semiHidden/>
    <w:unhideWhenUsed/>
    <w:rsid w:val="00FF03B0"/>
    <w:pPr>
      <w:spacing w:before="100" w:beforeAutospacing="1" w:after="100" w:afterAutospacing="1" w:line="240" w:lineRule="auto"/>
    </w:pPr>
    <w:rPr>
      <w:rFonts w:ascii="Times New Roman" w:hAnsi="Times New Roman" w:cs="Times New Roman"/>
      <w:sz w:val="24"/>
      <w:szCs w:val="24"/>
      <w:lang w:eastAsia="en-AU"/>
    </w:rPr>
  </w:style>
  <w:style w:type="paragraph" w:styleId="TOC3">
    <w:name w:val="toc 3"/>
    <w:basedOn w:val="Normal"/>
    <w:next w:val="Normal"/>
    <w:autoRedefine/>
    <w:uiPriority w:val="39"/>
    <w:unhideWhenUsed/>
    <w:qFormat/>
    <w:rsid w:val="00FF03B0"/>
    <w:pPr>
      <w:spacing w:after="100"/>
      <w:ind w:left="440"/>
    </w:pPr>
  </w:style>
  <w:style w:type="paragraph" w:styleId="TOCHeading">
    <w:name w:val="TOC Heading"/>
    <w:basedOn w:val="Heading1"/>
    <w:next w:val="Normal"/>
    <w:uiPriority w:val="39"/>
    <w:semiHidden/>
    <w:unhideWhenUsed/>
    <w:qFormat/>
    <w:rsid w:val="000C55FE"/>
    <w:pPr>
      <w:outlineLvl w:val="9"/>
    </w:pPr>
    <w:rPr>
      <w:lang w:val="en-US" w:eastAsia="ja-JP"/>
    </w:rPr>
  </w:style>
  <w:style w:type="paragraph" w:styleId="BodyText">
    <w:name w:val="Body Text"/>
    <w:basedOn w:val="Normal"/>
    <w:link w:val="BodyTextChar"/>
    <w:uiPriority w:val="1"/>
    <w:qFormat/>
    <w:rsid w:val="00E8338E"/>
    <w:pPr>
      <w:widowControl w:val="0"/>
      <w:spacing w:before="200" w:after="0" w:line="240" w:lineRule="auto"/>
      <w:ind w:left="1701"/>
    </w:pPr>
    <w:rPr>
      <w:rFonts w:ascii="Arial" w:eastAsia="Arial" w:hAnsi="Arial"/>
      <w:sz w:val="19"/>
      <w:szCs w:val="19"/>
    </w:rPr>
  </w:style>
  <w:style w:type="character" w:customStyle="1" w:styleId="BodyTextChar">
    <w:name w:val="Body Text Char"/>
    <w:basedOn w:val="DefaultParagraphFont"/>
    <w:link w:val="BodyText"/>
    <w:uiPriority w:val="1"/>
    <w:rsid w:val="00E8338E"/>
    <w:rPr>
      <w:rFonts w:ascii="Arial" w:eastAsia="Arial" w:hAnsi="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69733">
      <w:bodyDiv w:val="1"/>
      <w:marLeft w:val="0"/>
      <w:marRight w:val="0"/>
      <w:marTop w:val="0"/>
      <w:marBottom w:val="0"/>
      <w:divBdr>
        <w:top w:val="none" w:sz="0" w:space="0" w:color="auto"/>
        <w:left w:val="none" w:sz="0" w:space="0" w:color="auto"/>
        <w:bottom w:val="none" w:sz="0" w:space="0" w:color="auto"/>
        <w:right w:val="none" w:sz="0" w:space="0" w:color="auto"/>
      </w:divBdr>
      <w:divsChild>
        <w:div w:id="1717045329">
          <w:marLeft w:val="0"/>
          <w:marRight w:val="0"/>
          <w:marTop w:val="0"/>
          <w:marBottom w:val="0"/>
          <w:divBdr>
            <w:top w:val="none" w:sz="0" w:space="0" w:color="auto"/>
            <w:left w:val="none" w:sz="0" w:space="0" w:color="auto"/>
            <w:bottom w:val="none" w:sz="0" w:space="0" w:color="auto"/>
            <w:right w:val="none" w:sz="0" w:space="0" w:color="auto"/>
          </w:divBdr>
          <w:divsChild>
            <w:div w:id="1957639258">
              <w:marLeft w:val="0"/>
              <w:marRight w:val="0"/>
              <w:marTop w:val="0"/>
              <w:marBottom w:val="0"/>
              <w:divBdr>
                <w:top w:val="none" w:sz="0" w:space="0" w:color="auto"/>
                <w:left w:val="none" w:sz="0" w:space="0" w:color="auto"/>
                <w:bottom w:val="none" w:sz="0" w:space="0" w:color="auto"/>
                <w:right w:val="none" w:sz="0" w:space="0" w:color="auto"/>
              </w:divBdr>
              <w:divsChild>
                <w:div w:id="1427770078">
                  <w:marLeft w:val="0"/>
                  <w:marRight w:val="0"/>
                  <w:marTop w:val="0"/>
                  <w:marBottom w:val="0"/>
                  <w:divBdr>
                    <w:top w:val="none" w:sz="0" w:space="0" w:color="auto"/>
                    <w:left w:val="none" w:sz="0" w:space="0" w:color="auto"/>
                    <w:bottom w:val="none" w:sz="0" w:space="0" w:color="auto"/>
                    <w:right w:val="none" w:sz="0" w:space="0" w:color="auto"/>
                  </w:divBdr>
                  <w:divsChild>
                    <w:div w:id="921716970">
                      <w:marLeft w:val="0"/>
                      <w:marRight w:val="0"/>
                      <w:marTop w:val="0"/>
                      <w:marBottom w:val="0"/>
                      <w:divBdr>
                        <w:top w:val="none" w:sz="0" w:space="0" w:color="auto"/>
                        <w:left w:val="none" w:sz="0" w:space="0" w:color="auto"/>
                        <w:bottom w:val="none" w:sz="0" w:space="0" w:color="auto"/>
                        <w:right w:val="none" w:sz="0" w:space="0" w:color="auto"/>
                      </w:divBdr>
                      <w:divsChild>
                        <w:div w:id="1810827790">
                          <w:marLeft w:val="0"/>
                          <w:marRight w:val="0"/>
                          <w:marTop w:val="0"/>
                          <w:marBottom w:val="0"/>
                          <w:divBdr>
                            <w:top w:val="none" w:sz="0" w:space="0" w:color="auto"/>
                            <w:left w:val="none" w:sz="0" w:space="0" w:color="auto"/>
                            <w:bottom w:val="none" w:sz="0" w:space="0" w:color="auto"/>
                            <w:right w:val="none" w:sz="0" w:space="0" w:color="auto"/>
                          </w:divBdr>
                          <w:divsChild>
                            <w:div w:id="1127554460">
                              <w:marLeft w:val="0"/>
                              <w:marRight w:val="0"/>
                              <w:marTop w:val="0"/>
                              <w:marBottom w:val="0"/>
                              <w:divBdr>
                                <w:top w:val="none" w:sz="0" w:space="0" w:color="auto"/>
                                <w:left w:val="none" w:sz="0" w:space="0" w:color="auto"/>
                                <w:bottom w:val="none" w:sz="0" w:space="0" w:color="auto"/>
                                <w:right w:val="none" w:sz="0" w:space="0" w:color="auto"/>
                              </w:divBdr>
                              <w:divsChild>
                                <w:div w:id="2041860230">
                                  <w:marLeft w:val="0"/>
                                  <w:marRight w:val="0"/>
                                  <w:marTop w:val="0"/>
                                  <w:marBottom w:val="0"/>
                                  <w:divBdr>
                                    <w:top w:val="none" w:sz="0" w:space="0" w:color="auto"/>
                                    <w:left w:val="none" w:sz="0" w:space="0" w:color="auto"/>
                                    <w:bottom w:val="none" w:sz="0" w:space="0" w:color="auto"/>
                                    <w:right w:val="none" w:sz="0" w:space="0" w:color="auto"/>
                                  </w:divBdr>
                                  <w:divsChild>
                                    <w:div w:id="36236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7348813">
      <w:bodyDiv w:val="1"/>
      <w:marLeft w:val="0"/>
      <w:marRight w:val="0"/>
      <w:marTop w:val="0"/>
      <w:marBottom w:val="0"/>
      <w:divBdr>
        <w:top w:val="none" w:sz="0" w:space="0" w:color="auto"/>
        <w:left w:val="none" w:sz="0" w:space="0" w:color="auto"/>
        <w:bottom w:val="none" w:sz="0" w:space="0" w:color="auto"/>
        <w:right w:val="none" w:sz="0" w:space="0" w:color="auto"/>
      </w:divBdr>
      <w:divsChild>
        <w:div w:id="563026409">
          <w:marLeft w:val="0"/>
          <w:marRight w:val="0"/>
          <w:marTop w:val="0"/>
          <w:marBottom w:val="0"/>
          <w:divBdr>
            <w:top w:val="none" w:sz="0" w:space="0" w:color="auto"/>
            <w:left w:val="none" w:sz="0" w:space="0" w:color="auto"/>
            <w:bottom w:val="none" w:sz="0" w:space="0" w:color="auto"/>
            <w:right w:val="none" w:sz="0" w:space="0" w:color="auto"/>
          </w:divBdr>
          <w:divsChild>
            <w:div w:id="34891774">
              <w:marLeft w:val="0"/>
              <w:marRight w:val="0"/>
              <w:marTop w:val="0"/>
              <w:marBottom w:val="0"/>
              <w:divBdr>
                <w:top w:val="none" w:sz="0" w:space="0" w:color="auto"/>
                <w:left w:val="none" w:sz="0" w:space="0" w:color="auto"/>
                <w:bottom w:val="none" w:sz="0" w:space="0" w:color="auto"/>
                <w:right w:val="none" w:sz="0" w:space="0" w:color="auto"/>
              </w:divBdr>
              <w:divsChild>
                <w:div w:id="1473862782">
                  <w:marLeft w:val="0"/>
                  <w:marRight w:val="0"/>
                  <w:marTop w:val="0"/>
                  <w:marBottom w:val="0"/>
                  <w:divBdr>
                    <w:top w:val="none" w:sz="0" w:space="0" w:color="auto"/>
                    <w:left w:val="none" w:sz="0" w:space="0" w:color="auto"/>
                    <w:bottom w:val="none" w:sz="0" w:space="0" w:color="auto"/>
                    <w:right w:val="none" w:sz="0" w:space="0" w:color="auto"/>
                  </w:divBdr>
                  <w:divsChild>
                    <w:div w:id="674764730">
                      <w:marLeft w:val="0"/>
                      <w:marRight w:val="0"/>
                      <w:marTop w:val="0"/>
                      <w:marBottom w:val="0"/>
                      <w:divBdr>
                        <w:top w:val="none" w:sz="0" w:space="0" w:color="auto"/>
                        <w:left w:val="none" w:sz="0" w:space="0" w:color="auto"/>
                        <w:bottom w:val="none" w:sz="0" w:space="0" w:color="auto"/>
                        <w:right w:val="none" w:sz="0" w:space="0" w:color="auto"/>
                      </w:divBdr>
                      <w:divsChild>
                        <w:div w:id="1419056918">
                          <w:marLeft w:val="0"/>
                          <w:marRight w:val="0"/>
                          <w:marTop w:val="0"/>
                          <w:marBottom w:val="0"/>
                          <w:divBdr>
                            <w:top w:val="none" w:sz="0" w:space="0" w:color="auto"/>
                            <w:left w:val="none" w:sz="0" w:space="0" w:color="auto"/>
                            <w:bottom w:val="none" w:sz="0" w:space="0" w:color="auto"/>
                            <w:right w:val="none" w:sz="0" w:space="0" w:color="auto"/>
                          </w:divBdr>
                          <w:divsChild>
                            <w:div w:id="1533033391">
                              <w:marLeft w:val="0"/>
                              <w:marRight w:val="0"/>
                              <w:marTop w:val="0"/>
                              <w:marBottom w:val="0"/>
                              <w:divBdr>
                                <w:top w:val="none" w:sz="0" w:space="0" w:color="auto"/>
                                <w:left w:val="none" w:sz="0" w:space="0" w:color="auto"/>
                                <w:bottom w:val="none" w:sz="0" w:space="0" w:color="auto"/>
                                <w:right w:val="none" w:sz="0" w:space="0" w:color="auto"/>
                              </w:divBdr>
                              <w:divsChild>
                                <w:div w:id="1546213421">
                                  <w:marLeft w:val="0"/>
                                  <w:marRight w:val="0"/>
                                  <w:marTop w:val="0"/>
                                  <w:marBottom w:val="0"/>
                                  <w:divBdr>
                                    <w:top w:val="none" w:sz="0" w:space="0" w:color="auto"/>
                                    <w:left w:val="none" w:sz="0" w:space="0" w:color="auto"/>
                                    <w:bottom w:val="none" w:sz="0" w:space="0" w:color="auto"/>
                                    <w:right w:val="none" w:sz="0" w:space="0" w:color="auto"/>
                                  </w:divBdr>
                                  <w:divsChild>
                                    <w:div w:id="1293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8194207">
      <w:bodyDiv w:val="1"/>
      <w:marLeft w:val="0"/>
      <w:marRight w:val="0"/>
      <w:marTop w:val="0"/>
      <w:marBottom w:val="0"/>
      <w:divBdr>
        <w:top w:val="none" w:sz="0" w:space="0" w:color="auto"/>
        <w:left w:val="none" w:sz="0" w:space="0" w:color="auto"/>
        <w:bottom w:val="none" w:sz="0" w:space="0" w:color="auto"/>
        <w:right w:val="none" w:sz="0" w:space="0" w:color="auto"/>
      </w:divBdr>
      <w:divsChild>
        <w:div w:id="1107970924">
          <w:marLeft w:val="0"/>
          <w:marRight w:val="0"/>
          <w:marTop w:val="0"/>
          <w:marBottom w:val="0"/>
          <w:divBdr>
            <w:top w:val="none" w:sz="0" w:space="0" w:color="auto"/>
            <w:left w:val="none" w:sz="0" w:space="0" w:color="auto"/>
            <w:bottom w:val="none" w:sz="0" w:space="0" w:color="auto"/>
            <w:right w:val="none" w:sz="0" w:space="0" w:color="auto"/>
          </w:divBdr>
          <w:divsChild>
            <w:div w:id="653949415">
              <w:marLeft w:val="0"/>
              <w:marRight w:val="0"/>
              <w:marTop w:val="0"/>
              <w:marBottom w:val="0"/>
              <w:divBdr>
                <w:top w:val="none" w:sz="0" w:space="0" w:color="auto"/>
                <w:left w:val="none" w:sz="0" w:space="0" w:color="auto"/>
                <w:bottom w:val="none" w:sz="0" w:space="0" w:color="auto"/>
                <w:right w:val="none" w:sz="0" w:space="0" w:color="auto"/>
              </w:divBdr>
              <w:divsChild>
                <w:div w:id="1093286323">
                  <w:marLeft w:val="0"/>
                  <w:marRight w:val="0"/>
                  <w:marTop w:val="0"/>
                  <w:marBottom w:val="0"/>
                  <w:divBdr>
                    <w:top w:val="none" w:sz="0" w:space="0" w:color="auto"/>
                    <w:left w:val="none" w:sz="0" w:space="0" w:color="auto"/>
                    <w:bottom w:val="none" w:sz="0" w:space="0" w:color="auto"/>
                    <w:right w:val="none" w:sz="0" w:space="0" w:color="auto"/>
                  </w:divBdr>
                  <w:divsChild>
                    <w:div w:id="461851772">
                      <w:marLeft w:val="0"/>
                      <w:marRight w:val="0"/>
                      <w:marTop w:val="0"/>
                      <w:marBottom w:val="0"/>
                      <w:divBdr>
                        <w:top w:val="none" w:sz="0" w:space="0" w:color="auto"/>
                        <w:left w:val="none" w:sz="0" w:space="0" w:color="auto"/>
                        <w:bottom w:val="none" w:sz="0" w:space="0" w:color="auto"/>
                        <w:right w:val="none" w:sz="0" w:space="0" w:color="auto"/>
                      </w:divBdr>
                      <w:divsChild>
                        <w:div w:id="150026261">
                          <w:marLeft w:val="0"/>
                          <w:marRight w:val="0"/>
                          <w:marTop w:val="0"/>
                          <w:marBottom w:val="0"/>
                          <w:divBdr>
                            <w:top w:val="none" w:sz="0" w:space="0" w:color="auto"/>
                            <w:left w:val="none" w:sz="0" w:space="0" w:color="auto"/>
                            <w:bottom w:val="none" w:sz="0" w:space="0" w:color="auto"/>
                            <w:right w:val="none" w:sz="0" w:space="0" w:color="auto"/>
                          </w:divBdr>
                          <w:divsChild>
                            <w:div w:id="1557163353">
                              <w:marLeft w:val="0"/>
                              <w:marRight w:val="0"/>
                              <w:marTop w:val="0"/>
                              <w:marBottom w:val="0"/>
                              <w:divBdr>
                                <w:top w:val="none" w:sz="0" w:space="0" w:color="auto"/>
                                <w:left w:val="none" w:sz="0" w:space="0" w:color="auto"/>
                                <w:bottom w:val="none" w:sz="0" w:space="0" w:color="auto"/>
                                <w:right w:val="none" w:sz="0" w:space="0" w:color="auto"/>
                              </w:divBdr>
                              <w:divsChild>
                                <w:div w:id="1104030982">
                                  <w:marLeft w:val="0"/>
                                  <w:marRight w:val="0"/>
                                  <w:marTop w:val="0"/>
                                  <w:marBottom w:val="0"/>
                                  <w:divBdr>
                                    <w:top w:val="none" w:sz="0" w:space="0" w:color="auto"/>
                                    <w:left w:val="none" w:sz="0" w:space="0" w:color="auto"/>
                                    <w:bottom w:val="none" w:sz="0" w:space="0" w:color="auto"/>
                                    <w:right w:val="none" w:sz="0" w:space="0" w:color="auto"/>
                                  </w:divBdr>
                                  <w:divsChild>
                                    <w:div w:id="89509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462812">
      <w:bodyDiv w:val="1"/>
      <w:marLeft w:val="0"/>
      <w:marRight w:val="0"/>
      <w:marTop w:val="0"/>
      <w:marBottom w:val="0"/>
      <w:divBdr>
        <w:top w:val="none" w:sz="0" w:space="0" w:color="auto"/>
        <w:left w:val="none" w:sz="0" w:space="0" w:color="auto"/>
        <w:bottom w:val="none" w:sz="0" w:space="0" w:color="auto"/>
        <w:right w:val="none" w:sz="0" w:space="0" w:color="auto"/>
      </w:divBdr>
      <w:divsChild>
        <w:div w:id="745344058">
          <w:marLeft w:val="0"/>
          <w:marRight w:val="0"/>
          <w:marTop w:val="0"/>
          <w:marBottom w:val="0"/>
          <w:divBdr>
            <w:top w:val="none" w:sz="0" w:space="0" w:color="auto"/>
            <w:left w:val="none" w:sz="0" w:space="0" w:color="auto"/>
            <w:bottom w:val="none" w:sz="0" w:space="0" w:color="auto"/>
            <w:right w:val="none" w:sz="0" w:space="0" w:color="auto"/>
          </w:divBdr>
          <w:divsChild>
            <w:div w:id="1727800317">
              <w:marLeft w:val="0"/>
              <w:marRight w:val="0"/>
              <w:marTop w:val="0"/>
              <w:marBottom w:val="0"/>
              <w:divBdr>
                <w:top w:val="none" w:sz="0" w:space="0" w:color="auto"/>
                <w:left w:val="none" w:sz="0" w:space="0" w:color="auto"/>
                <w:bottom w:val="none" w:sz="0" w:space="0" w:color="auto"/>
                <w:right w:val="none" w:sz="0" w:space="0" w:color="auto"/>
              </w:divBdr>
              <w:divsChild>
                <w:div w:id="2010403341">
                  <w:marLeft w:val="0"/>
                  <w:marRight w:val="0"/>
                  <w:marTop w:val="0"/>
                  <w:marBottom w:val="0"/>
                  <w:divBdr>
                    <w:top w:val="none" w:sz="0" w:space="0" w:color="auto"/>
                    <w:left w:val="none" w:sz="0" w:space="0" w:color="auto"/>
                    <w:bottom w:val="none" w:sz="0" w:space="0" w:color="auto"/>
                    <w:right w:val="none" w:sz="0" w:space="0" w:color="auto"/>
                  </w:divBdr>
                  <w:divsChild>
                    <w:div w:id="449470300">
                      <w:marLeft w:val="0"/>
                      <w:marRight w:val="0"/>
                      <w:marTop w:val="0"/>
                      <w:marBottom w:val="0"/>
                      <w:divBdr>
                        <w:top w:val="none" w:sz="0" w:space="0" w:color="auto"/>
                        <w:left w:val="none" w:sz="0" w:space="0" w:color="auto"/>
                        <w:bottom w:val="none" w:sz="0" w:space="0" w:color="auto"/>
                        <w:right w:val="none" w:sz="0" w:space="0" w:color="auto"/>
                      </w:divBdr>
                      <w:divsChild>
                        <w:div w:id="946547592">
                          <w:marLeft w:val="0"/>
                          <w:marRight w:val="0"/>
                          <w:marTop w:val="0"/>
                          <w:marBottom w:val="0"/>
                          <w:divBdr>
                            <w:top w:val="none" w:sz="0" w:space="0" w:color="auto"/>
                            <w:left w:val="none" w:sz="0" w:space="0" w:color="auto"/>
                            <w:bottom w:val="none" w:sz="0" w:space="0" w:color="auto"/>
                            <w:right w:val="none" w:sz="0" w:space="0" w:color="auto"/>
                          </w:divBdr>
                          <w:divsChild>
                            <w:div w:id="453254688">
                              <w:marLeft w:val="0"/>
                              <w:marRight w:val="0"/>
                              <w:marTop w:val="0"/>
                              <w:marBottom w:val="0"/>
                              <w:divBdr>
                                <w:top w:val="none" w:sz="0" w:space="0" w:color="auto"/>
                                <w:left w:val="none" w:sz="0" w:space="0" w:color="auto"/>
                                <w:bottom w:val="none" w:sz="0" w:space="0" w:color="auto"/>
                                <w:right w:val="none" w:sz="0" w:space="0" w:color="auto"/>
                              </w:divBdr>
                              <w:divsChild>
                                <w:div w:id="1919244331">
                                  <w:marLeft w:val="0"/>
                                  <w:marRight w:val="0"/>
                                  <w:marTop w:val="0"/>
                                  <w:marBottom w:val="0"/>
                                  <w:divBdr>
                                    <w:top w:val="none" w:sz="0" w:space="0" w:color="auto"/>
                                    <w:left w:val="none" w:sz="0" w:space="0" w:color="auto"/>
                                    <w:bottom w:val="none" w:sz="0" w:space="0" w:color="auto"/>
                                    <w:right w:val="none" w:sz="0" w:space="0" w:color="auto"/>
                                  </w:divBdr>
                                  <w:divsChild>
                                    <w:div w:id="154694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772808">
      <w:bodyDiv w:val="1"/>
      <w:marLeft w:val="0"/>
      <w:marRight w:val="0"/>
      <w:marTop w:val="0"/>
      <w:marBottom w:val="0"/>
      <w:divBdr>
        <w:top w:val="none" w:sz="0" w:space="0" w:color="auto"/>
        <w:left w:val="none" w:sz="0" w:space="0" w:color="auto"/>
        <w:bottom w:val="none" w:sz="0" w:space="0" w:color="auto"/>
        <w:right w:val="none" w:sz="0" w:space="0" w:color="auto"/>
      </w:divBdr>
      <w:divsChild>
        <w:div w:id="862670160">
          <w:marLeft w:val="0"/>
          <w:marRight w:val="0"/>
          <w:marTop w:val="0"/>
          <w:marBottom w:val="0"/>
          <w:divBdr>
            <w:top w:val="none" w:sz="0" w:space="0" w:color="auto"/>
            <w:left w:val="none" w:sz="0" w:space="0" w:color="auto"/>
            <w:bottom w:val="none" w:sz="0" w:space="0" w:color="auto"/>
            <w:right w:val="none" w:sz="0" w:space="0" w:color="auto"/>
          </w:divBdr>
          <w:divsChild>
            <w:div w:id="236400751">
              <w:marLeft w:val="0"/>
              <w:marRight w:val="0"/>
              <w:marTop w:val="0"/>
              <w:marBottom w:val="0"/>
              <w:divBdr>
                <w:top w:val="none" w:sz="0" w:space="0" w:color="auto"/>
                <w:left w:val="none" w:sz="0" w:space="0" w:color="auto"/>
                <w:bottom w:val="none" w:sz="0" w:space="0" w:color="auto"/>
                <w:right w:val="none" w:sz="0" w:space="0" w:color="auto"/>
              </w:divBdr>
              <w:divsChild>
                <w:div w:id="388963133">
                  <w:marLeft w:val="0"/>
                  <w:marRight w:val="0"/>
                  <w:marTop w:val="0"/>
                  <w:marBottom w:val="0"/>
                  <w:divBdr>
                    <w:top w:val="none" w:sz="0" w:space="0" w:color="auto"/>
                    <w:left w:val="none" w:sz="0" w:space="0" w:color="auto"/>
                    <w:bottom w:val="none" w:sz="0" w:space="0" w:color="auto"/>
                    <w:right w:val="none" w:sz="0" w:space="0" w:color="auto"/>
                  </w:divBdr>
                  <w:divsChild>
                    <w:div w:id="2090956889">
                      <w:marLeft w:val="0"/>
                      <w:marRight w:val="0"/>
                      <w:marTop w:val="0"/>
                      <w:marBottom w:val="0"/>
                      <w:divBdr>
                        <w:top w:val="none" w:sz="0" w:space="0" w:color="auto"/>
                        <w:left w:val="none" w:sz="0" w:space="0" w:color="auto"/>
                        <w:bottom w:val="none" w:sz="0" w:space="0" w:color="auto"/>
                        <w:right w:val="none" w:sz="0" w:space="0" w:color="auto"/>
                      </w:divBdr>
                      <w:divsChild>
                        <w:div w:id="37710348">
                          <w:marLeft w:val="0"/>
                          <w:marRight w:val="0"/>
                          <w:marTop w:val="0"/>
                          <w:marBottom w:val="0"/>
                          <w:divBdr>
                            <w:top w:val="none" w:sz="0" w:space="0" w:color="auto"/>
                            <w:left w:val="none" w:sz="0" w:space="0" w:color="auto"/>
                            <w:bottom w:val="none" w:sz="0" w:space="0" w:color="auto"/>
                            <w:right w:val="none" w:sz="0" w:space="0" w:color="auto"/>
                          </w:divBdr>
                          <w:divsChild>
                            <w:div w:id="704796331">
                              <w:marLeft w:val="0"/>
                              <w:marRight w:val="0"/>
                              <w:marTop w:val="0"/>
                              <w:marBottom w:val="0"/>
                              <w:divBdr>
                                <w:top w:val="none" w:sz="0" w:space="0" w:color="auto"/>
                                <w:left w:val="none" w:sz="0" w:space="0" w:color="auto"/>
                                <w:bottom w:val="none" w:sz="0" w:space="0" w:color="auto"/>
                                <w:right w:val="none" w:sz="0" w:space="0" w:color="auto"/>
                              </w:divBdr>
                              <w:divsChild>
                                <w:div w:id="1151479922">
                                  <w:marLeft w:val="0"/>
                                  <w:marRight w:val="0"/>
                                  <w:marTop w:val="0"/>
                                  <w:marBottom w:val="0"/>
                                  <w:divBdr>
                                    <w:top w:val="none" w:sz="0" w:space="0" w:color="auto"/>
                                    <w:left w:val="none" w:sz="0" w:space="0" w:color="auto"/>
                                    <w:bottom w:val="none" w:sz="0" w:space="0" w:color="auto"/>
                                    <w:right w:val="none" w:sz="0" w:space="0" w:color="auto"/>
                                  </w:divBdr>
                                  <w:divsChild>
                                    <w:div w:id="14186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711865">
      <w:bodyDiv w:val="1"/>
      <w:marLeft w:val="0"/>
      <w:marRight w:val="0"/>
      <w:marTop w:val="0"/>
      <w:marBottom w:val="0"/>
      <w:divBdr>
        <w:top w:val="none" w:sz="0" w:space="0" w:color="auto"/>
        <w:left w:val="none" w:sz="0" w:space="0" w:color="auto"/>
        <w:bottom w:val="none" w:sz="0" w:space="0" w:color="auto"/>
        <w:right w:val="none" w:sz="0" w:space="0" w:color="auto"/>
      </w:divBdr>
      <w:divsChild>
        <w:div w:id="1774935481">
          <w:marLeft w:val="0"/>
          <w:marRight w:val="0"/>
          <w:marTop w:val="0"/>
          <w:marBottom w:val="0"/>
          <w:divBdr>
            <w:top w:val="none" w:sz="0" w:space="0" w:color="auto"/>
            <w:left w:val="none" w:sz="0" w:space="0" w:color="auto"/>
            <w:bottom w:val="none" w:sz="0" w:space="0" w:color="auto"/>
            <w:right w:val="none" w:sz="0" w:space="0" w:color="auto"/>
          </w:divBdr>
          <w:divsChild>
            <w:div w:id="1020355937">
              <w:marLeft w:val="0"/>
              <w:marRight w:val="0"/>
              <w:marTop w:val="0"/>
              <w:marBottom w:val="0"/>
              <w:divBdr>
                <w:top w:val="none" w:sz="0" w:space="0" w:color="auto"/>
                <w:left w:val="none" w:sz="0" w:space="0" w:color="auto"/>
                <w:bottom w:val="none" w:sz="0" w:space="0" w:color="auto"/>
                <w:right w:val="none" w:sz="0" w:space="0" w:color="auto"/>
              </w:divBdr>
              <w:divsChild>
                <w:div w:id="1070495794">
                  <w:marLeft w:val="0"/>
                  <w:marRight w:val="0"/>
                  <w:marTop w:val="0"/>
                  <w:marBottom w:val="0"/>
                  <w:divBdr>
                    <w:top w:val="none" w:sz="0" w:space="0" w:color="auto"/>
                    <w:left w:val="none" w:sz="0" w:space="0" w:color="auto"/>
                    <w:bottom w:val="none" w:sz="0" w:space="0" w:color="auto"/>
                    <w:right w:val="none" w:sz="0" w:space="0" w:color="auto"/>
                  </w:divBdr>
                  <w:divsChild>
                    <w:div w:id="1488941422">
                      <w:marLeft w:val="0"/>
                      <w:marRight w:val="0"/>
                      <w:marTop w:val="0"/>
                      <w:marBottom w:val="0"/>
                      <w:divBdr>
                        <w:top w:val="none" w:sz="0" w:space="0" w:color="auto"/>
                        <w:left w:val="none" w:sz="0" w:space="0" w:color="auto"/>
                        <w:bottom w:val="none" w:sz="0" w:space="0" w:color="auto"/>
                        <w:right w:val="none" w:sz="0" w:space="0" w:color="auto"/>
                      </w:divBdr>
                      <w:divsChild>
                        <w:div w:id="637146212">
                          <w:marLeft w:val="0"/>
                          <w:marRight w:val="0"/>
                          <w:marTop w:val="0"/>
                          <w:marBottom w:val="0"/>
                          <w:divBdr>
                            <w:top w:val="none" w:sz="0" w:space="0" w:color="auto"/>
                            <w:left w:val="none" w:sz="0" w:space="0" w:color="auto"/>
                            <w:bottom w:val="none" w:sz="0" w:space="0" w:color="auto"/>
                            <w:right w:val="none" w:sz="0" w:space="0" w:color="auto"/>
                          </w:divBdr>
                          <w:divsChild>
                            <w:div w:id="1193224973">
                              <w:marLeft w:val="0"/>
                              <w:marRight w:val="0"/>
                              <w:marTop w:val="0"/>
                              <w:marBottom w:val="0"/>
                              <w:divBdr>
                                <w:top w:val="none" w:sz="0" w:space="0" w:color="auto"/>
                                <w:left w:val="none" w:sz="0" w:space="0" w:color="auto"/>
                                <w:bottom w:val="none" w:sz="0" w:space="0" w:color="auto"/>
                                <w:right w:val="none" w:sz="0" w:space="0" w:color="auto"/>
                              </w:divBdr>
                              <w:divsChild>
                                <w:div w:id="546065809">
                                  <w:marLeft w:val="0"/>
                                  <w:marRight w:val="0"/>
                                  <w:marTop w:val="0"/>
                                  <w:marBottom w:val="0"/>
                                  <w:divBdr>
                                    <w:top w:val="none" w:sz="0" w:space="0" w:color="auto"/>
                                    <w:left w:val="none" w:sz="0" w:space="0" w:color="auto"/>
                                    <w:bottom w:val="none" w:sz="0" w:space="0" w:color="auto"/>
                                    <w:right w:val="none" w:sz="0" w:space="0" w:color="auto"/>
                                  </w:divBdr>
                                  <w:divsChild>
                                    <w:div w:id="1015494210">
                                      <w:marLeft w:val="0"/>
                                      <w:marRight w:val="0"/>
                                      <w:marTop w:val="0"/>
                                      <w:marBottom w:val="0"/>
                                      <w:divBdr>
                                        <w:top w:val="none" w:sz="0" w:space="0" w:color="auto"/>
                                        <w:left w:val="none" w:sz="0" w:space="0" w:color="auto"/>
                                        <w:bottom w:val="none" w:sz="0" w:space="0" w:color="auto"/>
                                        <w:right w:val="none" w:sz="0" w:space="0" w:color="auto"/>
                                      </w:divBdr>
                                      <w:divsChild>
                                        <w:div w:id="282079183">
                                          <w:marLeft w:val="0"/>
                                          <w:marRight w:val="0"/>
                                          <w:marTop w:val="0"/>
                                          <w:marBottom w:val="0"/>
                                          <w:divBdr>
                                            <w:top w:val="none" w:sz="0" w:space="0" w:color="auto"/>
                                            <w:left w:val="none" w:sz="0" w:space="0" w:color="auto"/>
                                            <w:bottom w:val="none" w:sz="0" w:space="0" w:color="auto"/>
                                            <w:right w:val="none" w:sz="0" w:space="0" w:color="auto"/>
                                          </w:divBdr>
                                          <w:divsChild>
                                            <w:div w:id="10873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765598">
      <w:bodyDiv w:val="1"/>
      <w:marLeft w:val="0"/>
      <w:marRight w:val="0"/>
      <w:marTop w:val="0"/>
      <w:marBottom w:val="0"/>
      <w:divBdr>
        <w:top w:val="none" w:sz="0" w:space="0" w:color="auto"/>
        <w:left w:val="none" w:sz="0" w:space="0" w:color="auto"/>
        <w:bottom w:val="none" w:sz="0" w:space="0" w:color="auto"/>
        <w:right w:val="none" w:sz="0" w:space="0" w:color="auto"/>
      </w:divBdr>
      <w:divsChild>
        <w:div w:id="2059086538">
          <w:marLeft w:val="0"/>
          <w:marRight w:val="0"/>
          <w:marTop w:val="0"/>
          <w:marBottom w:val="0"/>
          <w:divBdr>
            <w:top w:val="none" w:sz="0" w:space="0" w:color="auto"/>
            <w:left w:val="none" w:sz="0" w:space="0" w:color="auto"/>
            <w:bottom w:val="none" w:sz="0" w:space="0" w:color="auto"/>
            <w:right w:val="none" w:sz="0" w:space="0" w:color="auto"/>
          </w:divBdr>
          <w:divsChild>
            <w:div w:id="1792163420">
              <w:marLeft w:val="0"/>
              <w:marRight w:val="0"/>
              <w:marTop w:val="0"/>
              <w:marBottom w:val="0"/>
              <w:divBdr>
                <w:top w:val="none" w:sz="0" w:space="0" w:color="auto"/>
                <w:left w:val="none" w:sz="0" w:space="0" w:color="auto"/>
                <w:bottom w:val="none" w:sz="0" w:space="0" w:color="auto"/>
                <w:right w:val="none" w:sz="0" w:space="0" w:color="auto"/>
              </w:divBdr>
              <w:divsChild>
                <w:div w:id="1329989268">
                  <w:marLeft w:val="0"/>
                  <w:marRight w:val="0"/>
                  <w:marTop w:val="0"/>
                  <w:marBottom w:val="0"/>
                  <w:divBdr>
                    <w:top w:val="none" w:sz="0" w:space="0" w:color="auto"/>
                    <w:left w:val="none" w:sz="0" w:space="0" w:color="auto"/>
                    <w:bottom w:val="none" w:sz="0" w:space="0" w:color="auto"/>
                    <w:right w:val="none" w:sz="0" w:space="0" w:color="auto"/>
                  </w:divBdr>
                  <w:divsChild>
                    <w:div w:id="1098211527">
                      <w:marLeft w:val="0"/>
                      <w:marRight w:val="0"/>
                      <w:marTop w:val="0"/>
                      <w:marBottom w:val="0"/>
                      <w:divBdr>
                        <w:top w:val="none" w:sz="0" w:space="0" w:color="auto"/>
                        <w:left w:val="none" w:sz="0" w:space="0" w:color="auto"/>
                        <w:bottom w:val="none" w:sz="0" w:space="0" w:color="auto"/>
                        <w:right w:val="none" w:sz="0" w:space="0" w:color="auto"/>
                      </w:divBdr>
                      <w:divsChild>
                        <w:div w:id="1079212329">
                          <w:marLeft w:val="0"/>
                          <w:marRight w:val="0"/>
                          <w:marTop w:val="0"/>
                          <w:marBottom w:val="0"/>
                          <w:divBdr>
                            <w:top w:val="none" w:sz="0" w:space="0" w:color="auto"/>
                            <w:left w:val="none" w:sz="0" w:space="0" w:color="auto"/>
                            <w:bottom w:val="none" w:sz="0" w:space="0" w:color="auto"/>
                            <w:right w:val="none" w:sz="0" w:space="0" w:color="auto"/>
                          </w:divBdr>
                          <w:divsChild>
                            <w:div w:id="573858050">
                              <w:marLeft w:val="0"/>
                              <w:marRight w:val="0"/>
                              <w:marTop w:val="0"/>
                              <w:marBottom w:val="0"/>
                              <w:divBdr>
                                <w:top w:val="none" w:sz="0" w:space="0" w:color="auto"/>
                                <w:left w:val="none" w:sz="0" w:space="0" w:color="auto"/>
                                <w:bottom w:val="none" w:sz="0" w:space="0" w:color="auto"/>
                                <w:right w:val="none" w:sz="0" w:space="0" w:color="auto"/>
                              </w:divBdr>
                              <w:divsChild>
                                <w:div w:id="805582589">
                                  <w:marLeft w:val="0"/>
                                  <w:marRight w:val="0"/>
                                  <w:marTop w:val="0"/>
                                  <w:marBottom w:val="0"/>
                                  <w:divBdr>
                                    <w:top w:val="none" w:sz="0" w:space="0" w:color="auto"/>
                                    <w:left w:val="none" w:sz="0" w:space="0" w:color="auto"/>
                                    <w:bottom w:val="none" w:sz="0" w:space="0" w:color="auto"/>
                                    <w:right w:val="none" w:sz="0" w:space="0" w:color="auto"/>
                                  </w:divBdr>
                                  <w:divsChild>
                                    <w:div w:id="8780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4838309">
      <w:bodyDiv w:val="1"/>
      <w:marLeft w:val="0"/>
      <w:marRight w:val="0"/>
      <w:marTop w:val="0"/>
      <w:marBottom w:val="0"/>
      <w:divBdr>
        <w:top w:val="none" w:sz="0" w:space="0" w:color="auto"/>
        <w:left w:val="none" w:sz="0" w:space="0" w:color="auto"/>
        <w:bottom w:val="none" w:sz="0" w:space="0" w:color="auto"/>
        <w:right w:val="none" w:sz="0" w:space="0" w:color="auto"/>
      </w:divBdr>
      <w:divsChild>
        <w:div w:id="1355619014">
          <w:marLeft w:val="0"/>
          <w:marRight w:val="0"/>
          <w:marTop w:val="0"/>
          <w:marBottom w:val="0"/>
          <w:divBdr>
            <w:top w:val="none" w:sz="0" w:space="0" w:color="auto"/>
            <w:left w:val="none" w:sz="0" w:space="0" w:color="auto"/>
            <w:bottom w:val="none" w:sz="0" w:space="0" w:color="auto"/>
            <w:right w:val="none" w:sz="0" w:space="0" w:color="auto"/>
          </w:divBdr>
          <w:divsChild>
            <w:div w:id="26756867">
              <w:marLeft w:val="0"/>
              <w:marRight w:val="0"/>
              <w:marTop w:val="0"/>
              <w:marBottom w:val="0"/>
              <w:divBdr>
                <w:top w:val="none" w:sz="0" w:space="0" w:color="auto"/>
                <w:left w:val="none" w:sz="0" w:space="0" w:color="auto"/>
                <w:bottom w:val="none" w:sz="0" w:space="0" w:color="auto"/>
                <w:right w:val="none" w:sz="0" w:space="0" w:color="auto"/>
              </w:divBdr>
              <w:divsChild>
                <w:div w:id="562520935">
                  <w:marLeft w:val="0"/>
                  <w:marRight w:val="0"/>
                  <w:marTop w:val="0"/>
                  <w:marBottom w:val="0"/>
                  <w:divBdr>
                    <w:top w:val="none" w:sz="0" w:space="0" w:color="auto"/>
                    <w:left w:val="none" w:sz="0" w:space="0" w:color="auto"/>
                    <w:bottom w:val="none" w:sz="0" w:space="0" w:color="auto"/>
                    <w:right w:val="none" w:sz="0" w:space="0" w:color="auto"/>
                  </w:divBdr>
                  <w:divsChild>
                    <w:div w:id="708335740">
                      <w:marLeft w:val="0"/>
                      <w:marRight w:val="0"/>
                      <w:marTop w:val="0"/>
                      <w:marBottom w:val="0"/>
                      <w:divBdr>
                        <w:top w:val="none" w:sz="0" w:space="0" w:color="auto"/>
                        <w:left w:val="none" w:sz="0" w:space="0" w:color="auto"/>
                        <w:bottom w:val="none" w:sz="0" w:space="0" w:color="auto"/>
                        <w:right w:val="none" w:sz="0" w:space="0" w:color="auto"/>
                      </w:divBdr>
                      <w:divsChild>
                        <w:div w:id="772939295">
                          <w:marLeft w:val="0"/>
                          <w:marRight w:val="0"/>
                          <w:marTop w:val="0"/>
                          <w:marBottom w:val="0"/>
                          <w:divBdr>
                            <w:top w:val="none" w:sz="0" w:space="0" w:color="auto"/>
                            <w:left w:val="none" w:sz="0" w:space="0" w:color="auto"/>
                            <w:bottom w:val="none" w:sz="0" w:space="0" w:color="auto"/>
                            <w:right w:val="none" w:sz="0" w:space="0" w:color="auto"/>
                          </w:divBdr>
                          <w:divsChild>
                            <w:div w:id="357127896">
                              <w:marLeft w:val="0"/>
                              <w:marRight w:val="0"/>
                              <w:marTop w:val="0"/>
                              <w:marBottom w:val="0"/>
                              <w:divBdr>
                                <w:top w:val="none" w:sz="0" w:space="0" w:color="auto"/>
                                <w:left w:val="none" w:sz="0" w:space="0" w:color="auto"/>
                                <w:bottom w:val="none" w:sz="0" w:space="0" w:color="auto"/>
                                <w:right w:val="none" w:sz="0" w:space="0" w:color="auto"/>
                              </w:divBdr>
                              <w:divsChild>
                                <w:div w:id="1073619777">
                                  <w:marLeft w:val="0"/>
                                  <w:marRight w:val="0"/>
                                  <w:marTop w:val="0"/>
                                  <w:marBottom w:val="0"/>
                                  <w:divBdr>
                                    <w:top w:val="none" w:sz="0" w:space="0" w:color="auto"/>
                                    <w:left w:val="none" w:sz="0" w:space="0" w:color="auto"/>
                                    <w:bottom w:val="none" w:sz="0" w:space="0" w:color="auto"/>
                                    <w:right w:val="none" w:sz="0" w:space="0" w:color="auto"/>
                                  </w:divBdr>
                                  <w:divsChild>
                                    <w:div w:id="10080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253664">
      <w:bodyDiv w:val="1"/>
      <w:marLeft w:val="0"/>
      <w:marRight w:val="0"/>
      <w:marTop w:val="0"/>
      <w:marBottom w:val="0"/>
      <w:divBdr>
        <w:top w:val="none" w:sz="0" w:space="0" w:color="auto"/>
        <w:left w:val="none" w:sz="0" w:space="0" w:color="auto"/>
        <w:bottom w:val="none" w:sz="0" w:space="0" w:color="auto"/>
        <w:right w:val="none" w:sz="0" w:space="0" w:color="auto"/>
      </w:divBdr>
      <w:divsChild>
        <w:div w:id="382758127">
          <w:marLeft w:val="0"/>
          <w:marRight w:val="0"/>
          <w:marTop w:val="0"/>
          <w:marBottom w:val="0"/>
          <w:divBdr>
            <w:top w:val="none" w:sz="0" w:space="0" w:color="auto"/>
            <w:left w:val="none" w:sz="0" w:space="0" w:color="auto"/>
            <w:bottom w:val="none" w:sz="0" w:space="0" w:color="auto"/>
            <w:right w:val="none" w:sz="0" w:space="0" w:color="auto"/>
          </w:divBdr>
          <w:divsChild>
            <w:div w:id="1299147297">
              <w:marLeft w:val="0"/>
              <w:marRight w:val="0"/>
              <w:marTop w:val="0"/>
              <w:marBottom w:val="0"/>
              <w:divBdr>
                <w:top w:val="none" w:sz="0" w:space="0" w:color="auto"/>
                <w:left w:val="none" w:sz="0" w:space="0" w:color="auto"/>
                <w:bottom w:val="none" w:sz="0" w:space="0" w:color="auto"/>
                <w:right w:val="none" w:sz="0" w:space="0" w:color="auto"/>
              </w:divBdr>
              <w:divsChild>
                <w:div w:id="1395424590">
                  <w:marLeft w:val="0"/>
                  <w:marRight w:val="0"/>
                  <w:marTop w:val="0"/>
                  <w:marBottom w:val="0"/>
                  <w:divBdr>
                    <w:top w:val="none" w:sz="0" w:space="0" w:color="auto"/>
                    <w:left w:val="none" w:sz="0" w:space="0" w:color="auto"/>
                    <w:bottom w:val="none" w:sz="0" w:space="0" w:color="auto"/>
                    <w:right w:val="none" w:sz="0" w:space="0" w:color="auto"/>
                  </w:divBdr>
                  <w:divsChild>
                    <w:div w:id="648558378">
                      <w:marLeft w:val="0"/>
                      <w:marRight w:val="0"/>
                      <w:marTop w:val="0"/>
                      <w:marBottom w:val="0"/>
                      <w:divBdr>
                        <w:top w:val="none" w:sz="0" w:space="0" w:color="auto"/>
                        <w:left w:val="none" w:sz="0" w:space="0" w:color="auto"/>
                        <w:bottom w:val="none" w:sz="0" w:space="0" w:color="auto"/>
                        <w:right w:val="none" w:sz="0" w:space="0" w:color="auto"/>
                      </w:divBdr>
                      <w:divsChild>
                        <w:div w:id="163209931">
                          <w:marLeft w:val="0"/>
                          <w:marRight w:val="0"/>
                          <w:marTop w:val="0"/>
                          <w:marBottom w:val="0"/>
                          <w:divBdr>
                            <w:top w:val="none" w:sz="0" w:space="0" w:color="auto"/>
                            <w:left w:val="none" w:sz="0" w:space="0" w:color="auto"/>
                            <w:bottom w:val="none" w:sz="0" w:space="0" w:color="auto"/>
                            <w:right w:val="none" w:sz="0" w:space="0" w:color="auto"/>
                          </w:divBdr>
                          <w:divsChild>
                            <w:div w:id="2081441103">
                              <w:marLeft w:val="0"/>
                              <w:marRight w:val="0"/>
                              <w:marTop w:val="0"/>
                              <w:marBottom w:val="0"/>
                              <w:divBdr>
                                <w:top w:val="none" w:sz="0" w:space="0" w:color="auto"/>
                                <w:left w:val="none" w:sz="0" w:space="0" w:color="auto"/>
                                <w:bottom w:val="none" w:sz="0" w:space="0" w:color="auto"/>
                                <w:right w:val="none" w:sz="0" w:space="0" w:color="auto"/>
                              </w:divBdr>
                              <w:divsChild>
                                <w:div w:id="205027620">
                                  <w:marLeft w:val="0"/>
                                  <w:marRight w:val="0"/>
                                  <w:marTop w:val="0"/>
                                  <w:marBottom w:val="0"/>
                                  <w:divBdr>
                                    <w:top w:val="none" w:sz="0" w:space="0" w:color="auto"/>
                                    <w:left w:val="none" w:sz="0" w:space="0" w:color="auto"/>
                                    <w:bottom w:val="none" w:sz="0" w:space="0" w:color="auto"/>
                                    <w:right w:val="none" w:sz="0" w:space="0" w:color="auto"/>
                                  </w:divBdr>
                                  <w:divsChild>
                                    <w:div w:id="2100173342">
                                      <w:marLeft w:val="0"/>
                                      <w:marRight w:val="0"/>
                                      <w:marTop w:val="0"/>
                                      <w:marBottom w:val="0"/>
                                      <w:divBdr>
                                        <w:top w:val="none" w:sz="0" w:space="0" w:color="auto"/>
                                        <w:left w:val="none" w:sz="0" w:space="0" w:color="auto"/>
                                        <w:bottom w:val="none" w:sz="0" w:space="0" w:color="auto"/>
                                        <w:right w:val="none" w:sz="0" w:space="0" w:color="auto"/>
                                      </w:divBdr>
                                      <w:divsChild>
                                        <w:div w:id="755321327">
                                          <w:marLeft w:val="0"/>
                                          <w:marRight w:val="0"/>
                                          <w:marTop w:val="0"/>
                                          <w:marBottom w:val="0"/>
                                          <w:divBdr>
                                            <w:top w:val="none" w:sz="0" w:space="0" w:color="auto"/>
                                            <w:left w:val="none" w:sz="0" w:space="0" w:color="auto"/>
                                            <w:bottom w:val="none" w:sz="0" w:space="0" w:color="auto"/>
                                            <w:right w:val="none" w:sz="0" w:space="0" w:color="auto"/>
                                          </w:divBdr>
                                          <w:divsChild>
                                            <w:div w:id="5965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6163849">
      <w:bodyDiv w:val="1"/>
      <w:marLeft w:val="0"/>
      <w:marRight w:val="0"/>
      <w:marTop w:val="0"/>
      <w:marBottom w:val="0"/>
      <w:divBdr>
        <w:top w:val="none" w:sz="0" w:space="0" w:color="auto"/>
        <w:left w:val="none" w:sz="0" w:space="0" w:color="auto"/>
        <w:bottom w:val="none" w:sz="0" w:space="0" w:color="auto"/>
        <w:right w:val="none" w:sz="0" w:space="0" w:color="auto"/>
      </w:divBdr>
      <w:divsChild>
        <w:div w:id="196699765">
          <w:marLeft w:val="0"/>
          <w:marRight w:val="0"/>
          <w:marTop w:val="0"/>
          <w:marBottom w:val="0"/>
          <w:divBdr>
            <w:top w:val="none" w:sz="0" w:space="0" w:color="auto"/>
            <w:left w:val="none" w:sz="0" w:space="0" w:color="auto"/>
            <w:bottom w:val="none" w:sz="0" w:space="0" w:color="auto"/>
            <w:right w:val="none" w:sz="0" w:space="0" w:color="auto"/>
          </w:divBdr>
          <w:divsChild>
            <w:div w:id="448625496">
              <w:marLeft w:val="0"/>
              <w:marRight w:val="0"/>
              <w:marTop w:val="0"/>
              <w:marBottom w:val="0"/>
              <w:divBdr>
                <w:top w:val="none" w:sz="0" w:space="0" w:color="auto"/>
                <w:left w:val="none" w:sz="0" w:space="0" w:color="auto"/>
                <w:bottom w:val="none" w:sz="0" w:space="0" w:color="auto"/>
                <w:right w:val="none" w:sz="0" w:space="0" w:color="auto"/>
              </w:divBdr>
              <w:divsChild>
                <w:div w:id="401295986">
                  <w:marLeft w:val="0"/>
                  <w:marRight w:val="0"/>
                  <w:marTop w:val="0"/>
                  <w:marBottom w:val="0"/>
                  <w:divBdr>
                    <w:top w:val="none" w:sz="0" w:space="0" w:color="auto"/>
                    <w:left w:val="none" w:sz="0" w:space="0" w:color="auto"/>
                    <w:bottom w:val="none" w:sz="0" w:space="0" w:color="auto"/>
                    <w:right w:val="none" w:sz="0" w:space="0" w:color="auto"/>
                  </w:divBdr>
                  <w:divsChild>
                    <w:div w:id="1465267478">
                      <w:marLeft w:val="0"/>
                      <w:marRight w:val="0"/>
                      <w:marTop w:val="0"/>
                      <w:marBottom w:val="0"/>
                      <w:divBdr>
                        <w:top w:val="none" w:sz="0" w:space="0" w:color="auto"/>
                        <w:left w:val="none" w:sz="0" w:space="0" w:color="auto"/>
                        <w:bottom w:val="none" w:sz="0" w:space="0" w:color="auto"/>
                        <w:right w:val="none" w:sz="0" w:space="0" w:color="auto"/>
                      </w:divBdr>
                      <w:divsChild>
                        <w:div w:id="2075351572">
                          <w:marLeft w:val="0"/>
                          <w:marRight w:val="0"/>
                          <w:marTop w:val="0"/>
                          <w:marBottom w:val="0"/>
                          <w:divBdr>
                            <w:top w:val="none" w:sz="0" w:space="0" w:color="auto"/>
                            <w:left w:val="none" w:sz="0" w:space="0" w:color="auto"/>
                            <w:bottom w:val="none" w:sz="0" w:space="0" w:color="auto"/>
                            <w:right w:val="none" w:sz="0" w:space="0" w:color="auto"/>
                          </w:divBdr>
                          <w:divsChild>
                            <w:div w:id="819924582">
                              <w:marLeft w:val="0"/>
                              <w:marRight w:val="0"/>
                              <w:marTop w:val="0"/>
                              <w:marBottom w:val="0"/>
                              <w:divBdr>
                                <w:top w:val="none" w:sz="0" w:space="0" w:color="auto"/>
                                <w:left w:val="none" w:sz="0" w:space="0" w:color="auto"/>
                                <w:bottom w:val="none" w:sz="0" w:space="0" w:color="auto"/>
                                <w:right w:val="none" w:sz="0" w:space="0" w:color="auto"/>
                              </w:divBdr>
                              <w:divsChild>
                                <w:div w:id="1703164813">
                                  <w:marLeft w:val="0"/>
                                  <w:marRight w:val="0"/>
                                  <w:marTop w:val="0"/>
                                  <w:marBottom w:val="0"/>
                                  <w:divBdr>
                                    <w:top w:val="none" w:sz="0" w:space="0" w:color="auto"/>
                                    <w:left w:val="none" w:sz="0" w:space="0" w:color="auto"/>
                                    <w:bottom w:val="none" w:sz="0" w:space="0" w:color="auto"/>
                                    <w:right w:val="none" w:sz="0" w:space="0" w:color="auto"/>
                                  </w:divBdr>
                                  <w:divsChild>
                                    <w:div w:id="9913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834218">
      <w:bodyDiv w:val="1"/>
      <w:marLeft w:val="0"/>
      <w:marRight w:val="0"/>
      <w:marTop w:val="0"/>
      <w:marBottom w:val="0"/>
      <w:divBdr>
        <w:top w:val="none" w:sz="0" w:space="0" w:color="auto"/>
        <w:left w:val="none" w:sz="0" w:space="0" w:color="auto"/>
        <w:bottom w:val="none" w:sz="0" w:space="0" w:color="auto"/>
        <w:right w:val="none" w:sz="0" w:space="0" w:color="auto"/>
      </w:divBdr>
      <w:divsChild>
        <w:div w:id="1704356906">
          <w:marLeft w:val="0"/>
          <w:marRight w:val="0"/>
          <w:marTop w:val="0"/>
          <w:marBottom w:val="0"/>
          <w:divBdr>
            <w:top w:val="none" w:sz="0" w:space="0" w:color="auto"/>
            <w:left w:val="none" w:sz="0" w:space="0" w:color="auto"/>
            <w:bottom w:val="none" w:sz="0" w:space="0" w:color="auto"/>
            <w:right w:val="none" w:sz="0" w:space="0" w:color="auto"/>
          </w:divBdr>
          <w:divsChild>
            <w:div w:id="18043502">
              <w:marLeft w:val="0"/>
              <w:marRight w:val="0"/>
              <w:marTop w:val="0"/>
              <w:marBottom w:val="0"/>
              <w:divBdr>
                <w:top w:val="none" w:sz="0" w:space="0" w:color="auto"/>
                <w:left w:val="none" w:sz="0" w:space="0" w:color="auto"/>
                <w:bottom w:val="none" w:sz="0" w:space="0" w:color="auto"/>
                <w:right w:val="none" w:sz="0" w:space="0" w:color="auto"/>
              </w:divBdr>
              <w:divsChild>
                <w:div w:id="900558208">
                  <w:marLeft w:val="0"/>
                  <w:marRight w:val="0"/>
                  <w:marTop w:val="0"/>
                  <w:marBottom w:val="0"/>
                  <w:divBdr>
                    <w:top w:val="none" w:sz="0" w:space="0" w:color="auto"/>
                    <w:left w:val="none" w:sz="0" w:space="0" w:color="auto"/>
                    <w:bottom w:val="none" w:sz="0" w:space="0" w:color="auto"/>
                    <w:right w:val="none" w:sz="0" w:space="0" w:color="auto"/>
                  </w:divBdr>
                  <w:divsChild>
                    <w:div w:id="1220937827">
                      <w:marLeft w:val="0"/>
                      <w:marRight w:val="0"/>
                      <w:marTop w:val="0"/>
                      <w:marBottom w:val="0"/>
                      <w:divBdr>
                        <w:top w:val="none" w:sz="0" w:space="0" w:color="auto"/>
                        <w:left w:val="none" w:sz="0" w:space="0" w:color="auto"/>
                        <w:bottom w:val="none" w:sz="0" w:space="0" w:color="auto"/>
                        <w:right w:val="none" w:sz="0" w:space="0" w:color="auto"/>
                      </w:divBdr>
                      <w:divsChild>
                        <w:div w:id="1997297752">
                          <w:marLeft w:val="0"/>
                          <w:marRight w:val="0"/>
                          <w:marTop w:val="0"/>
                          <w:marBottom w:val="0"/>
                          <w:divBdr>
                            <w:top w:val="none" w:sz="0" w:space="0" w:color="auto"/>
                            <w:left w:val="none" w:sz="0" w:space="0" w:color="auto"/>
                            <w:bottom w:val="none" w:sz="0" w:space="0" w:color="auto"/>
                            <w:right w:val="none" w:sz="0" w:space="0" w:color="auto"/>
                          </w:divBdr>
                          <w:divsChild>
                            <w:div w:id="418256137">
                              <w:marLeft w:val="0"/>
                              <w:marRight w:val="0"/>
                              <w:marTop w:val="0"/>
                              <w:marBottom w:val="0"/>
                              <w:divBdr>
                                <w:top w:val="none" w:sz="0" w:space="0" w:color="auto"/>
                                <w:left w:val="none" w:sz="0" w:space="0" w:color="auto"/>
                                <w:bottom w:val="none" w:sz="0" w:space="0" w:color="auto"/>
                                <w:right w:val="none" w:sz="0" w:space="0" w:color="auto"/>
                              </w:divBdr>
                              <w:divsChild>
                                <w:div w:id="1277759186">
                                  <w:marLeft w:val="0"/>
                                  <w:marRight w:val="0"/>
                                  <w:marTop w:val="0"/>
                                  <w:marBottom w:val="0"/>
                                  <w:divBdr>
                                    <w:top w:val="none" w:sz="0" w:space="0" w:color="auto"/>
                                    <w:left w:val="none" w:sz="0" w:space="0" w:color="auto"/>
                                    <w:bottom w:val="none" w:sz="0" w:space="0" w:color="auto"/>
                                    <w:right w:val="none" w:sz="0" w:space="0" w:color="auto"/>
                                  </w:divBdr>
                                  <w:divsChild>
                                    <w:div w:id="1816143546">
                                      <w:marLeft w:val="0"/>
                                      <w:marRight w:val="0"/>
                                      <w:marTop w:val="0"/>
                                      <w:marBottom w:val="0"/>
                                      <w:divBdr>
                                        <w:top w:val="none" w:sz="0" w:space="0" w:color="auto"/>
                                        <w:left w:val="none" w:sz="0" w:space="0" w:color="auto"/>
                                        <w:bottom w:val="none" w:sz="0" w:space="0" w:color="auto"/>
                                        <w:right w:val="none" w:sz="0" w:space="0" w:color="auto"/>
                                      </w:divBdr>
                                      <w:divsChild>
                                        <w:div w:id="12265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210824">
      <w:bodyDiv w:val="1"/>
      <w:marLeft w:val="0"/>
      <w:marRight w:val="0"/>
      <w:marTop w:val="0"/>
      <w:marBottom w:val="0"/>
      <w:divBdr>
        <w:top w:val="none" w:sz="0" w:space="0" w:color="auto"/>
        <w:left w:val="none" w:sz="0" w:space="0" w:color="auto"/>
        <w:bottom w:val="none" w:sz="0" w:space="0" w:color="auto"/>
        <w:right w:val="none" w:sz="0" w:space="0" w:color="auto"/>
      </w:divBdr>
      <w:divsChild>
        <w:div w:id="529221555">
          <w:marLeft w:val="0"/>
          <w:marRight w:val="0"/>
          <w:marTop w:val="0"/>
          <w:marBottom w:val="0"/>
          <w:divBdr>
            <w:top w:val="none" w:sz="0" w:space="0" w:color="auto"/>
            <w:left w:val="none" w:sz="0" w:space="0" w:color="auto"/>
            <w:bottom w:val="none" w:sz="0" w:space="0" w:color="auto"/>
            <w:right w:val="none" w:sz="0" w:space="0" w:color="auto"/>
          </w:divBdr>
          <w:divsChild>
            <w:div w:id="617181286">
              <w:marLeft w:val="0"/>
              <w:marRight w:val="0"/>
              <w:marTop w:val="0"/>
              <w:marBottom w:val="0"/>
              <w:divBdr>
                <w:top w:val="none" w:sz="0" w:space="0" w:color="auto"/>
                <w:left w:val="none" w:sz="0" w:space="0" w:color="auto"/>
                <w:bottom w:val="none" w:sz="0" w:space="0" w:color="auto"/>
                <w:right w:val="none" w:sz="0" w:space="0" w:color="auto"/>
              </w:divBdr>
              <w:divsChild>
                <w:div w:id="1553535468">
                  <w:marLeft w:val="0"/>
                  <w:marRight w:val="0"/>
                  <w:marTop w:val="0"/>
                  <w:marBottom w:val="0"/>
                  <w:divBdr>
                    <w:top w:val="none" w:sz="0" w:space="0" w:color="auto"/>
                    <w:left w:val="none" w:sz="0" w:space="0" w:color="auto"/>
                    <w:bottom w:val="none" w:sz="0" w:space="0" w:color="auto"/>
                    <w:right w:val="none" w:sz="0" w:space="0" w:color="auto"/>
                  </w:divBdr>
                  <w:divsChild>
                    <w:div w:id="1205213785">
                      <w:marLeft w:val="0"/>
                      <w:marRight w:val="0"/>
                      <w:marTop w:val="0"/>
                      <w:marBottom w:val="0"/>
                      <w:divBdr>
                        <w:top w:val="none" w:sz="0" w:space="0" w:color="auto"/>
                        <w:left w:val="none" w:sz="0" w:space="0" w:color="auto"/>
                        <w:bottom w:val="none" w:sz="0" w:space="0" w:color="auto"/>
                        <w:right w:val="none" w:sz="0" w:space="0" w:color="auto"/>
                      </w:divBdr>
                      <w:divsChild>
                        <w:div w:id="397365766">
                          <w:marLeft w:val="0"/>
                          <w:marRight w:val="0"/>
                          <w:marTop w:val="0"/>
                          <w:marBottom w:val="0"/>
                          <w:divBdr>
                            <w:top w:val="none" w:sz="0" w:space="0" w:color="auto"/>
                            <w:left w:val="none" w:sz="0" w:space="0" w:color="auto"/>
                            <w:bottom w:val="none" w:sz="0" w:space="0" w:color="auto"/>
                            <w:right w:val="none" w:sz="0" w:space="0" w:color="auto"/>
                          </w:divBdr>
                          <w:divsChild>
                            <w:div w:id="885484542">
                              <w:marLeft w:val="0"/>
                              <w:marRight w:val="0"/>
                              <w:marTop w:val="0"/>
                              <w:marBottom w:val="0"/>
                              <w:divBdr>
                                <w:top w:val="none" w:sz="0" w:space="0" w:color="auto"/>
                                <w:left w:val="none" w:sz="0" w:space="0" w:color="auto"/>
                                <w:bottom w:val="none" w:sz="0" w:space="0" w:color="auto"/>
                                <w:right w:val="none" w:sz="0" w:space="0" w:color="auto"/>
                              </w:divBdr>
                              <w:divsChild>
                                <w:div w:id="1897277831">
                                  <w:marLeft w:val="0"/>
                                  <w:marRight w:val="0"/>
                                  <w:marTop w:val="0"/>
                                  <w:marBottom w:val="0"/>
                                  <w:divBdr>
                                    <w:top w:val="none" w:sz="0" w:space="0" w:color="auto"/>
                                    <w:left w:val="none" w:sz="0" w:space="0" w:color="auto"/>
                                    <w:bottom w:val="none" w:sz="0" w:space="0" w:color="auto"/>
                                    <w:right w:val="none" w:sz="0" w:space="0" w:color="auto"/>
                                  </w:divBdr>
                                  <w:divsChild>
                                    <w:div w:id="709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069085">
      <w:bodyDiv w:val="1"/>
      <w:marLeft w:val="0"/>
      <w:marRight w:val="0"/>
      <w:marTop w:val="0"/>
      <w:marBottom w:val="0"/>
      <w:divBdr>
        <w:top w:val="none" w:sz="0" w:space="0" w:color="auto"/>
        <w:left w:val="none" w:sz="0" w:space="0" w:color="auto"/>
        <w:bottom w:val="none" w:sz="0" w:space="0" w:color="auto"/>
        <w:right w:val="none" w:sz="0" w:space="0" w:color="auto"/>
      </w:divBdr>
      <w:divsChild>
        <w:div w:id="1233196746">
          <w:marLeft w:val="0"/>
          <w:marRight w:val="0"/>
          <w:marTop w:val="0"/>
          <w:marBottom w:val="0"/>
          <w:divBdr>
            <w:top w:val="none" w:sz="0" w:space="0" w:color="auto"/>
            <w:left w:val="none" w:sz="0" w:space="0" w:color="auto"/>
            <w:bottom w:val="none" w:sz="0" w:space="0" w:color="auto"/>
            <w:right w:val="none" w:sz="0" w:space="0" w:color="auto"/>
          </w:divBdr>
          <w:divsChild>
            <w:div w:id="2019647783">
              <w:marLeft w:val="0"/>
              <w:marRight w:val="0"/>
              <w:marTop w:val="0"/>
              <w:marBottom w:val="0"/>
              <w:divBdr>
                <w:top w:val="none" w:sz="0" w:space="0" w:color="auto"/>
                <w:left w:val="none" w:sz="0" w:space="0" w:color="auto"/>
                <w:bottom w:val="none" w:sz="0" w:space="0" w:color="auto"/>
                <w:right w:val="none" w:sz="0" w:space="0" w:color="auto"/>
              </w:divBdr>
              <w:divsChild>
                <w:div w:id="357584781">
                  <w:marLeft w:val="0"/>
                  <w:marRight w:val="0"/>
                  <w:marTop w:val="0"/>
                  <w:marBottom w:val="0"/>
                  <w:divBdr>
                    <w:top w:val="none" w:sz="0" w:space="0" w:color="auto"/>
                    <w:left w:val="none" w:sz="0" w:space="0" w:color="auto"/>
                    <w:bottom w:val="none" w:sz="0" w:space="0" w:color="auto"/>
                    <w:right w:val="none" w:sz="0" w:space="0" w:color="auto"/>
                  </w:divBdr>
                  <w:divsChild>
                    <w:div w:id="281807490">
                      <w:marLeft w:val="0"/>
                      <w:marRight w:val="0"/>
                      <w:marTop w:val="0"/>
                      <w:marBottom w:val="0"/>
                      <w:divBdr>
                        <w:top w:val="none" w:sz="0" w:space="0" w:color="auto"/>
                        <w:left w:val="none" w:sz="0" w:space="0" w:color="auto"/>
                        <w:bottom w:val="none" w:sz="0" w:space="0" w:color="auto"/>
                        <w:right w:val="none" w:sz="0" w:space="0" w:color="auto"/>
                      </w:divBdr>
                      <w:divsChild>
                        <w:div w:id="2060279718">
                          <w:marLeft w:val="0"/>
                          <w:marRight w:val="0"/>
                          <w:marTop w:val="0"/>
                          <w:marBottom w:val="0"/>
                          <w:divBdr>
                            <w:top w:val="none" w:sz="0" w:space="0" w:color="auto"/>
                            <w:left w:val="none" w:sz="0" w:space="0" w:color="auto"/>
                            <w:bottom w:val="none" w:sz="0" w:space="0" w:color="auto"/>
                            <w:right w:val="none" w:sz="0" w:space="0" w:color="auto"/>
                          </w:divBdr>
                          <w:divsChild>
                            <w:div w:id="1142307113">
                              <w:marLeft w:val="0"/>
                              <w:marRight w:val="0"/>
                              <w:marTop w:val="0"/>
                              <w:marBottom w:val="0"/>
                              <w:divBdr>
                                <w:top w:val="none" w:sz="0" w:space="0" w:color="auto"/>
                                <w:left w:val="none" w:sz="0" w:space="0" w:color="auto"/>
                                <w:bottom w:val="none" w:sz="0" w:space="0" w:color="auto"/>
                                <w:right w:val="none" w:sz="0" w:space="0" w:color="auto"/>
                              </w:divBdr>
                              <w:divsChild>
                                <w:div w:id="1387922214">
                                  <w:marLeft w:val="0"/>
                                  <w:marRight w:val="0"/>
                                  <w:marTop w:val="0"/>
                                  <w:marBottom w:val="0"/>
                                  <w:divBdr>
                                    <w:top w:val="none" w:sz="0" w:space="0" w:color="auto"/>
                                    <w:left w:val="none" w:sz="0" w:space="0" w:color="auto"/>
                                    <w:bottom w:val="none" w:sz="0" w:space="0" w:color="auto"/>
                                    <w:right w:val="none" w:sz="0" w:space="0" w:color="auto"/>
                                  </w:divBdr>
                                  <w:divsChild>
                                    <w:div w:id="118844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6457587">
      <w:bodyDiv w:val="1"/>
      <w:marLeft w:val="0"/>
      <w:marRight w:val="0"/>
      <w:marTop w:val="0"/>
      <w:marBottom w:val="0"/>
      <w:divBdr>
        <w:top w:val="none" w:sz="0" w:space="0" w:color="auto"/>
        <w:left w:val="none" w:sz="0" w:space="0" w:color="auto"/>
        <w:bottom w:val="none" w:sz="0" w:space="0" w:color="auto"/>
        <w:right w:val="none" w:sz="0" w:space="0" w:color="auto"/>
      </w:divBdr>
      <w:divsChild>
        <w:div w:id="359286347">
          <w:marLeft w:val="0"/>
          <w:marRight w:val="0"/>
          <w:marTop w:val="0"/>
          <w:marBottom w:val="0"/>
          <w:divBdr>
            <w:top w:val="none" w:sz="0" w:space="0" w:color="auto"/>
            <w:left w:val="none" w:sz="0" w:space="0" w:color="auto"/>
            <w:bottom w:val="none" w:sz="0" w:space="0" w:color="auto"/>
            <w:right w:val="none" w:sz="0" w:space="0" w:color="auto"/>
          </w:divBdr>
          <w:divsChild>
            <w:div w:id="1411460363">
              <w:marLeft w:val="0"/>
              <w:marRight w:val="0"/>
              <w:marTop w:val="0"/>
              <w:marBottom w:val="0"/>
              <w:divBdr>
                <w:top w:val="none" w:sz="0" w:space="0" w:color="auto"/>
                <w:left w:val="none" w:sz="0" w:space="0" w:color="auto"/>
                <w:bottom w:val="none" w:sz="0" w:space="0" w:color="auto"/>
                <w:right w:val="none" w:sz="0" w:space="0" w:color="auto"/>
              </w:divBdr>
              <w:divsChild>
                <w:div w:id="257249685">
                  <w:marLeft w:val="0"/>
                  <w:marRight w:val="0"/>
                  <w:marTop w:val="0"/>
                  <w:marBottom w:val="0"/>
                  <w:divBdr>
                    <w:top w:val="none" w:sz="0" w:space="0" w:color="auto"/>
                    <w:left w:val="none" w:sz="0" w:space="0" w:color="auto"/>
                    <w:bottom w:val="none" w:sz="0" w:space="0" w:color="auto"/>
                    <w:right w:val="none" w:sz="0" w:space="0" w:color="auto"/>
                  </w:divBdr>
                  <w:divsChild>
                    <w:div w:id="1404176912">
                      <w:marLeft w:val="0"/>
                      <w:marRight w:val="0"/>
                      <w:marTop w:val="0"/>
                      <w:marBottom w:val="0"/>
                      <w:divBdr>
                        <w:top w:val="none" w:sz="0" w:space="0" w:color="auto"/>
                        <w:left w:val="none" w:sz="0" w:space="0" w:color="auto"/>
                        <w:bottom w:val="none" w:sz="0" w:space="0" w:color="auto"/>
                        <w:right w:val="none" w:sz="0" w:space="0" w:color="auto"/>
                      </w:divBdr>
                      <w:divsChild>
                        <w:div w:id="931817685">
                          <w:marLeft w:val="0"/>
                          <w:marRight w:val="0"/>
                          <w:marTop w:val="0"/>
                          <w:marBottom w:val="0"/>
                          <w:divBdr>
                            <w:top w:val="none" w:sz="0" w:space="0" w:color="auto"/>
                            <w:left w:val="none" w:sz="0" w:space="0" w:color="auto"/>
                            <w:bottom w:val="none" w:sz="0" w:space="0" w:color="auto"/>
                            <w:right w:val="none" w:sz="0" w:space="0" w:color="auto"/>
                          </w:divBdr>
                          <w:divsChild>
                            <w:div w:id="1880047719">
                              <w:marLeft w:val="0"/>
                              <w:marRight w:val="0"/>
                              <w:marTop w:val="0"/>
                              <w:marBottom w:val="0"/>
                              <w:divBdr>
                                <w:top w:val="none" w:sz="0" w:space="0" w:color="auto"/>
                                <w:left w:val="none" w:sz="0" w:space="0" w:color="auto"/>
                                <w:bottom w:val="none" w:sz="0" w:space="0" w:color="auto"/>
                                <w:right w:val="none" w:sz="0" w:space="0" w:color="auto"/>
                              </w:divBdr>
                              <w:divsChild>
                                <w:div w:id="728310979">
                                  <w:marLeft w:val="0"/>
                                  <w:marRight w:val="0"/>
                                  <w:marTop w:val="0"/>
                                  <w:marBottom w:val="0"/>
                                  <w:divBdr>
                                    <w:top w:val="none" w:sz="0" w:space="0" w:color="auto"/>
                                    <w:left w:val="none" w:sz="0" w:space="0" w:color="auto"/>
                                    <w:bottom w:val="none" w:sz="0" w:space="0" w:color="auto"/>
                                    <w:right w:val="none" w:sz="0" w:space="0" w:color="auto"/>
                                  </w:divBdr>
                                  <w:divsChild>
                                    <w:div w:id="483395022">
                                      <w:marLeft w:val="0"/>
                                      <w:marRight w:val="0"/>
                                      <w:marTop w:val="0"/>
                                      <w:marBottom w:val="0"/>
                                      <w:divBdr>
                                        <w:top w:val="none" w:sz="0" w:space="0" w:color="auto"/>
                                        <w:left w:val="none" w:sz="0" w:space="0" w:color="auto"/>
                                        <w:bottom w:val="none" w:sz="0" w:space="0" w:color="auto"/>
                                        <w:right w:val="none" w:sz="0" w:space="0" w:color="auto"/>
                                      </w:divBdr>
                                      <w:divsChild>
                                        <w:div w:id="16851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195796">
      <w:bodyDiv w:val="1"/>
      <w:marLeft w:val="0"/>
      <w:marRight w:val="0"/>
      <w:marTop w:val="0"/>
      <w:marBottom w:val="0"/>
      <w:divBdr>
        <w:top w:val="none" w:sz="0" w:space="0" w:color="auto"/>
        <w:left w:val="none" w:sz="0" w:space="0" w:color="auto"/>
        <w:bottom w:val="none" w:sz="0" w:space="0" w:color="auto"/>
        <w:right w:val="none" w:sz="0" w:space="0" w:color="auto"/>
      </w:divBdr>
      <w:divsChild>
        <w:div w:id="1240601696">
          <w:marLeft w:val="0"/>
          <w:marRight w:val="0"/>
          <w:marTop w:val="0"/>
          <w:marBottom w:val="0"/>
          <w:divBdr>
            <w:top w:val="none" w:sz="0" w:space="0" w:color="auto"/>
            <w:left w:val="none" w:sz="0" w:space="0" w:color="auto"/>
            <w:bottom w:val="none" w:sz="0" w:space="0" w:color="auto"/>
            <w:right w:val="none" w:sz="0" w:space="0" w:color="auto"/>
          </w:divBdr>
          <w:divsChild>
            <w:div w:id="1085344801">
              <w:marLeft w:val="0"/>
              <w:marRight w:val="0"/>
              <w:marTop w:val="0"/>
              <w:marBottom w:val="0"/>
              <w:divBdr>
                <w:top w:val="none" w:sz="0" w:space="0" w:color="auto"/>
                <w:left w:val="none" w:sz="0" w:space="0" w:color="auto"/>
                <w:bottom w:val="none" w:sz="0" w:space="0" w:color="auto"/>
                <w:right w:val="none" w:sz="0" w:space="0" w:color="auto"/>
              </w:divBdr>
              <w:divsChild>
                <w:div w:id="150102995">
                  <w:marLeft w:val="0"/>
                  <w:marRight w:val="0"/>
                  <w:marTop w:val="0"/>
                  <w:marBottom w:val="0"/>
                  <w:divBdr>
                    <w:top w:val="none" w:sz="0" w:space="0" w:color="auto"/>
                    <w:left w:val="none" w:sz="0" w:space="0" w:color="auto"/>
                    <w:bottom w:val="none" w:sz="0" w:space="0" w:color="auto"/>
                    <w:right w:val="none" w:sz="0" w:space="0" w:color="auto"/>
                  </w:divBdr>
                  <w:divsChild>
                    <w:div w:id="1477720282">
                      <w:marLeft w:val="0"/>
                      <w:marRight w:val="0"/>
                      <w:marTop w:val="0"/>
                      <w:marBottom w:val="0"/>
                      <w:divBdr>
                        <w:top w:val="none" w:sz="0" w:space="0" w:color="auto"/>
                        <w:left w:val="none" w:sz="0" w:space="0" w:color="auto"/>
                        <w:bottom w:val="none" w:sz="0" w:space="0" w:color="auto"/>
                        <w:right w:val="none" w:sz="0" w:space="0" w:color="auto"/>
                      </w:divBdr>
                      <w:divsChild>
                        <w:div w:id="2024431194">
                          <w:marLeft w:val="0"/>
                          <w:marRight w:val="0"/>
                          <w:marTop w:val="0"/>
                          <w:marBottom w:val="0"/>
                          <w:divBdr>
                            <w:top w:val="none" w:sz="0" w:space="0" w:color="auto"/>
                            <w:left w:val="none" w:sz="0" w:space="0" w:color="auto"/>
                            <w:bottom w:val="none" w:sz="0" w:space="0" w:color="auto"/>
                            <w:right w:val="none" w:sz="0" w:space="0" w:color="auto"/>
                          </w:divBdr>
                          <w:divsChild>
                            <w:div w:id="1340816875">
                              <w:marLeft w:val="0"/>
                              <w:marRight w:val="0"/>
                              <w:marTop w:val="0"/>
                              <w:marBottom w:val="0"/>
                              <w:divBdr>
                                <w:top w:val="none" w:sz="0" w:space="0" w:color="auto"/>
                                <w:left w:val="none" w:sz="0" w:space="0" w:color="auto"/>
                                <w:bottom w:val="none" w:sz="0" w:space="0" w:color="auto"/>
                                <w:right w:val="none" w:sz="0" w:space="0" w:color="auto"/>
                              </w:divBdr>
                              <w:divsChild>
                                <w:div w:id="173425060">
                                  <w:marLeft w:val="0"/>
                                  <w:marRight w:val="0"/>
                                  <w:marTop w:val="0"/>
                                  <w:marBottom w:val="0"/>
                                  <w:divBdr>
                                    <w:top w:val="none" w:sz="0" w:space="0" w:color="auto"/>
                                    <w:left w:val="none" w:sz="0" w:space="0" w:color="auto"/>
                                    <w:bottom w:val="none" w:sz="0" w:space="0" w:color="auto"/>
                                    <w:right w:val="none" w:sz="0" w:space="0" w:color="auto"/>
                                  </w:divBdr>
                                  <w:divsChild>
                                    <w:div w:id="68100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644075">
      <w:bodyDiv w:val="1"/>
      <w:marLeft w:val="0"/>
      <w:marRight w:val="0"/>
      <w:marTop w:val="0"/>
      <w:marBottom w:val="0"/>
      <w:divBdr>
        <w:top w:val="none" w:sz="0" w:space="0" w:color="auto"/>
        <w:left w:val="none" w:sz="0" w:space="0" w:color="auto"/>
        <w:bottom w:val="none" w:sz="0" w:space="0" w:color="auto"/>
        <w:right w:val="none" w:sz="0" w:space="0" w:color="auto"/>
      </w:divBdr>
      <w:divsChild>
        <w:div w:id="1866403022">
          <w:marLeft w:val="0"/>
          <w:marRight w:val="0"/>
          <w:marTop w:val="0"/>
          <w:marBottom w:val="0"/>
          <w:divBdr>
            <w:top w:val="none" w:sz="0" w:space="0" w:color="auto"/>
            <w:left w:val="none" w:sz="0" w:space="0" w:color="auto"/>
            <w:bottom w:val="none" w:sz="0" w:space="0" w:color="auto"/>
            <w:right w:val="none" w:sz="0" w:space="0" w:color="auto"/>
          </w:divBdr>
          <w:divsChild>
            <w:div w:id="1985695028">
              <w:marLeft w:val="0"/>
              <w:marRight w:val="0"/>
              <w:marTop w:val="0"/>
              <w:marBottom w:val="0"/>
              <w:divBdr>
                <w:top w:val="none" w:sz="0" w:space="0" w:color="auto"/>
                <w:left w:val="none" w:sz="0" w:space="0" w:color="auto"/>
                <w:bottom w:val="none" w:sz="0" w:space="0" w:color="auto"/>
                <w:right w:val="none" w:sz="0" w:space="0" w:color="auto"/>
              </w:divBdr>
              <w:divsChild>
                <w:div w:id="1072509365">
                  <w:marLeft w:val="0"/>
                  <w:marRight w:val="0"/>
                  <w:marTop w:val="0"/>
                  <w:marBottom w:val="0"/>
                  <w:divBdr>
                    <w:top w:val="none" w:sz="0" w:space="0" w:color="auto"/>
                    <w:left w:val="none" w:sz="0" w:space="0" w:color="auto"/>
                    <w:bottom w:val="none" w:sz="0" w:space="0" w:color="auto"/>
                    <w:right w:val="none" w:sz="0" w:space="0" w:color="auto"/>
                  </w:divBdr>
                  <w:divsChild>
                    <w:div w:id="840655867">
                      <w:marLeft w:val="0"/>
                      <w:marRight w:val="0"/>
                      <w:marTop w:val="0"/>
                      <w:marBottom w:val="0"/>
                      <w:divBdr>
                        <w:top w:val="none" w:sz="0" w:space="0" w:color="auto"/>
                        <w:left w:val="none" w:sz="0" w:space="0" w:color="auto"/>
                        <w:bottom w:val="none" w:sz="0" w:space="0" w:color="auto"/>
                        <w:right w:val="none" w:sz="0" w:space="0" w:color="auto"/>
                      </w:divBdr>
                      <w:divsChild>
                        <w:div w:id="1503466569">
                          <w:marLeft w:val="0"/>
                          <w:marRight w:val="0"/>
                          <w:marTop w:val="0"/>
                          <w:marBottom w:val="0"/>
                          <w:divBdr>
                            <w:top w:val="none" w:sz="0" w:space="0" w:color="auto"/>
                            <w:left w:val="none" w:sz="0" w:space="0" w:color="auto"/>
                            <w:bottom w:val="none" w:sz="0" w:space="0" w:color="auto"/>
                            <w:right w:val="none" w:sz="0" w:space="0" w:color="auto"/>
                          </w:divBdr>
                          <w:divsChild>
                            <w:div w:id="506139281">
                              <w:marLeft w:val="0"/>
                              <w:marRight w:val="0"/>
                              <w:marTop w:val="0"/>
                              <w:marBottom w:val="0"/>
                              <w:divBdr>
                                <w:top w:val="none" w:sz="0" w:space="0" w:color="auto"/>
                                <w:left w:val="none" w:sz="0" w:space="0" w:color="auto"/>
                                <w:bottom w:val="none" w:sz="0" w:space="0" w:color="auto"/>
                                <w:right w:val="none" w:sz="0" w:space="0" w:color="auto"/>
                              </w:divBdr>
                              <w:divsChild>
                                <w:div w:id="2121684752">
                                  <w:marLeft w:val="0"/>
                                  <w:marRight w:val="0"/>
                                  <w:marTop w:val="0"/>
                                  <w:marBottom w:val="0"/>
                                  <w:divBdr>
                                    <w:top w:val="none" w:sz="0" w:space="0" w:color="auto"/>
                                    <w:left w:val="none" w:sz="0" w:space="0" w:color="auto"/>
                                    <w:bottom w:val="none" w:sz="0" w:space="0" w:color="auto"/>
                                    <w:right w:val="none" w:sz="0" w:space="0" w:color="auto"/>
                                  </w:divBdr>
                                  <w:divsChild>
                                    <w:div w:id="6513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789293">
      <w:bodyDiv w:val="1"/>
      <w:marLeft w:val="0"/>
      <w:marRight w:val="0"/>
      <w:marTop w:val="0"/>
      <w:marBottom w:val="0"/>
      <w:divBdr>
        <w:top w:val="none" w:sz="0" w:space="0" w:color="auto"/>
        <w:left w:val="none" w:sz="0" w:space="0" w:color="auto"/>
        <w:bottom w:val="none" w:sz="0" w:space="0" w:color="auto"/>
        <w:right w:val="none" w:sz="0" w:space="0" w:color="auto"/>
      </w:divBdr>
      <w:divsChild>
        <w:div w:id="1683050884">
          <w:marLeft w:val="0"/>
          <w:marRight w:val="0"/>
          <w:marTop w:val="0"/>
          <w:marBottom w:val="0"/>
          <w:divBdr>
            <w:top w:val="none" w:sz="0" w:space="0" w:color="auto"/>
            <w:left w:val="none" w:sz="0" w:space="0" w:color="auto"/>
            <w:bottom w:val="none" w:sz="0" w:space="0" w:color="auto"/>
            <w:right w:val="none" w:sz="0" w:space="0" w:color="auto"/>
          </w:divBdr>
          <w:divsChild>
            <w:div w:id="712730807">
              <w:marLeft w:val="0"/>
              <w:marRight w:val="0"/>
              <w:marTop w:val="0"/>
              <w:marBottom w:val="0"/>
              <w:divBdr>
                <w:top w:val="none" w:sz="0" w:space="0" w:color="auto"/>
                <w:left w:val="none" w:sz="0" w:space="0" w:color="auto"/>
                <w:bottom w:val="none" w:sz="0" w:space="0" w:color="auto"/>
                <w:right w:val="none" w:sz="0" w:space="0" w:color="auto"/>
              </w:divBdr>
              <w:divsChild>
                <w:div w:id="1957172800">
                  <w:marLeft w:val="0"/>
                  <w:marRight w:val="0"/>
                  <w:marTop w:val="0"/>
                  <w:marBottom w:val="0"/>
                  <w:divBdr>
                    <w:top w:val="none" w:sz="0" w:space="0" w:color="auto"/>
                    <w:left w:val="none" w:sz="0" w:space="0" w:color="auto"/>
                    <w:bottom w:val="none" w:sz="0" w:space="0" w:color="auto"/>
                    <w:right w:val="none" w:sz="0" w:space="0" w:color="auto"/>
                  </w:divBdr>
                  <w:divsChild>
                    <w:div w:id="1280915676">
                      <w:marLeft w:val="0"/>
                      <w:marRight w:val="0"/>
                      <w:marTop w:val="0"/>
                      <w:marBottom w:val="0"/>
                      <w:divBdr>
                        <w:top w:val="none" w:sz="0" w:space="0" w:color="auto"/>
                        <w:left w:val="none" w:sz="0" w:space="0" w:color="auto"/>
                        <w:bottom w:val="none" w:sz="0" w:space="0" w:color="auto"/>
                        <w:right w:val="none" w:sz="0" w:space="0" w:color="auto"/>
                      </w:divBdr>
                      <w:divsChild>
                        <w:div w:id="2118479808">
                          <w:marLeft w:val="0"/>
                          <w:marRight w:val="0"/>
                          <w:marTop w:val="0"/>
                          <w:marBottom w:val="0"/>
                          <w:divBdr>
                            <w:top w:val="none" w:sz="0" w:space="0" w:color="auto"/>
                            <w:left w:val="none" w:sz="0" w:space="0" w:color="auto"/>
                            <w:bottom w:val="none" w:sz="0" w:space="0" w:color="auto"/>
                            <w:right w:val="none" w:sz="0" w:space="0" w:color="auto"/>
                          </w:divBdr>
                          <w:divsChild>
                            <w:div w:id="1735396940">
                              <w:marLeft w:val="0"/>
                              <w:marRight w:val="0"/>
                              <w:marTop w:val="0"/>
                              <w:marBottom w:val="0"/>
                              <w:divBdr>
                                <w:top w:val="none" w:sz="0" w:space="0" w:color="auto"/>
                                <w:left w:val="none" w:sz="0" w:space="0" w:color="auto"/>
                                <w:bottom w:val="none" w:sz="0" w:space="0" w:color="auto"/>
                                <w:right w:val="none" w:sz="0" w:space="0" w:color="auto"/>
                              </w:divBdr>
                              <w:divsChild>
                                <w:div w:id="1575119685">
                                  <w:marLeft w:val="0"/>
                                  <w:marRight w:val="0"/>
                                  <w:marTop w:val="0"/>
                                  <w:marBottom w:val="0"/>
                                  <w:divBdr>
                                    <w:top w:val="none" w:sz="0" w:space="0" w:color="auto"/>
                                    <w:left w:val="none" w:sz="0" w:space="0" w:color="auto"/>
                                    <w:bottom w:val="none" w:sz="0" w:space="0" w:color="auto"/>
                                    <w:right w:val="none" w:sz="0" w:space="0" w:color="auto"/>
                                  </w:divBdr>
                                  <w:divsChild>
                                    <w:div w:id="12714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396713">
      <w:bodyDiv w:val="1"/>
      <w:marLeft w:val="0"/>
      <w:marRight w:val="0"/>
      <w:marTop w:val="0"/>
      <w:marBottom w:val="0"/>
      <w:divBdr>
        <w:top w:val="none" w:sz="0" w:space="0" w:color="auto"/>
        <w:left w:val="none" w:sz="0" w:space="0" w:color="auto"/>
        <w:bottom w:val="none" w:sz="0" w:space="0" w:color="auto"/>
        <w:right w:val="none" w:sz="0" w:space="0" w:color="auto"/>
      </w:divBdr>
      <w:divsChild>
        <w:div w:id="332102447">
          <w:marLeft w:val="0"/>
          <w:marRight w:val="0"/>
          <w:marTop w:val="0"/>
          <w:marBottom w:val="0"/>
          <w:divBdr>
            <w:top w:val="none" w:sz="0" w:space="0" w:color="auto"/>
            <w:left w:val="none" w:sz="0" w:space="0" w:color="auto"/>
            <w:bottom w:val="none" w:sz="0" w:space="0" w:color="auto"/>
            <w:right w:val="none" w:sz="0" w:space="0" w:color="auto"/>
          </w:divBdr>
          <w:divsChild>
            <w:div w:id="286277790">
              <w:marLeft w:val="0"/>
              <w:marRight w:val="0"/>
              <w:marTop w:val="0"/>
              <w:marBottom w:val="0"/>
              <w:divBdr>
                <w:top w:val="none" w:sz="0" w:space="0" w:color="auto"/>
                <w:left w:val="none" w:sz="0" w:space="0" w:color="auto"/>
                <w:bottom w:val="none" w:sz="0" w:space="0" w:color="auto"/>
                <w:right w:val="none" w:sz="0" w:space="0" w:color="auto"/>
              </w:divBdr>
              <w:divsChild>
                <w:div w:id="169300001">
                  <w:marLeft w:val="0"/>
                  <w:marRight w:val="0"/>
                  <w:marTop w:val="0"/>
                  <w:marBottom w:val="0"/>
                  <w:divBdr>
                    <w:top w:val="none" w:sz="0" w:space="0" w:color="auto"/>
                    <w:left w:val="none" w:sz="0" w:space="0" w:color="auto"/>
                    <w:bottom w:val="none" w:sz="0" w:space="0" w:color="auto"/>
                    <w:right w:val="none" w:sz="0" w:space="0" w:color="auto"/>
                  </w:divBdr>
                  <w:divsChild>
                    <w:div w:id="87699576">
                      <w:marLeft w:val="0"/>
                      <w:marRight w:val="0"/>
                      <w:marTop w:val="0"/>
                      <w:marBottom w:val="0"/>
                      <w:divBdr>
                        <w:top w:val="none" w:sz="0" w:space="0" w:color="auto"/>
                        <w:left w:val="none" w:sz="0" w:space="0" w:color="auto"/>
                        <w:bottom w:val="none" w:sz="0" w:space="0" w:color="auto"/>
                        <w:right w:val="none" w:sz="0" w:space="0" w:color="auto"/>
                      </w:divBdr>
                      <w:divsChild>
                        <w:div w:id="427505968">
                          <w:marLeft w:val="0"/>
                          <w:marRight w:val="0"/>
                          <w:marTop w:val="0"/>
                          <w:marBottom w:val="0"/>
                          <w:divBdr>
                            <w:top w:val="none" w:sz="0" w:space="0" w:color="auto"/>
                            <w:left w:val="none" w:sz="0" w:space="0" w:color="auto"/>
                            <w:bottom w:val="none" w:sz="0" w:space="0" w:color="auto"/>
                            <w:right w:val="none" w:sz="0" w:space="0" w:color="auto"/>
                          </w:divBdr>
                          <w:divsChild>
                            <w:div w:id="1263614173">
                              <w:marLeft w:val="0"/>
                              <w:marRight w:val="0"/>
                              <w:marTop w:val="0"/>
                              <w:marBottom w:val="0"/>
                              <w:divBdr>
                                <w:top w:val="none" w:sz="0" w:space="0" w:color="auto"/>
                                <w:left w:val="none" w:sz="0" w:space="0" w:color="auto"/>
                                <w:bottom w:val="none" w:sz="0" w:space="0" w:color="auto"/>
                                <w:right w:val="none" w:sz="0" w:space="0" w:color="auto"/>
                              </w:divBdr>
                              <w:divsChild>
                                <w:div w:id="526263217">
                                  <w:marLeft w:val="0"/>
                                  <w:marRight w:val="0"/>
                                  <w:marTop w:val="0"/>
                                  <w:marBottom w:val="0"/>
                                  <w:divBdr>
                                    <w:top w:val="none" w:sz="0" w:space="0" w:color="auto"/>
                                    <w:left w:val="none" w:sz="0" w:space="0" w:color="auto"/>
                                    <w:bottom w:val="none" w:sz="0" w:space="0" w:color="auto"/>
                                    <w:right w:val="none" w:sz="0" w:space="0" w:color="auto"/>
                                  </w:divBdr>
                                  <w:divsChild>
                                    <w:div w:id="13387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182593">
      <w:bodyDiv w:val="1"/>
      <w:marLeft w:val="0"/>
      <w:marRight w:val="0"/>
      <w:marTop w:val="0"/>
      <w:marBottom w:val="0"/>
      <w:divBdr>
        <w:top w:val="none" w:sz="0" w:space="0" w:color="auto"/>
        <w:left w:val="none" w:sz="0" w:space="0" w:color="auto"/>
        <w:bottom w:val="none" w:sz="0" w:space="0" w:color="auto"/>
        <w:right w:val="none" w:sz="0" w:space="0" w:color="auto"/>
      </w:divBdr>
      <w:divsChild>
        <w:div w:id="1352799970">
          <w:marLeft w:val="0"/>
          <w:marRight w:val="0"/>
          <w:marTop w:val="0"/>
          <w:marBottom w:val="0"/>
          <w:divBdr>
            <w:top w:val="none" w:sz="0" w:space="0" w:color="auto"/>
            <w:left w:val="none" w:sz="0" w:space="0" w:color="auto"/>
            <w:bottom w:val="none" w:sz="0" w:space="0" w:color="auto"/>
            <w:right w:val="none" w:sz="0" w:space="0" w:color="auto"/>
          </w:divBdr>
          <w:divsChild>
            <w:div w:id="1128938862">
              <w:marLeft w:val="0"/>
              <w:marRight w:val="0"/>
              <w:marTop w:val="0"/>
              <w:marBottom w:val="0"/>
              <w:divBdr>
                <w:top w:val="none" w:sz="0" w:space="0" w:color="auto"/>
                <w:left w:val="none" w:sz="0" w:space="0" w:color="auto"/>
                <w:bottom w:val="none" w:sz="0" w:space="0" w:color="auto"/>
                <w:right w:val="none" w:sz="0" w:space="0" w:color="auto"/>
              </w:divBdr>
              <w:divsChild>
                <w:div w:id="1606495680">
                  <w:marLeft w:val="0"/>
                  <w:marRight w:val="0"/>
                  <w:marTop w:val="0"/>
                  <w:marBottom w:val="0"/>
                  <w:divBdr>
                    <w:top w:val="none" w:sz="0" w:space="0" w:color="auto"/>
                    <w:left w:val="none" w:sz="0" w:space="0" w:color="auto"/>
                    <w:bottom w:val="none" w:sz="0" w:space="0" w:color="auto"/>
                    <w:right w:val="none" w:sz="0" w:space="0" w:color="auto"/>
                  </w:divBdr>
                  <w:divsChild>
                    <w:div w:id="636573835">
                      <w:marLeft w:val="0"/>
                      <w:marRight w:val="0"/>
                      <w:marTop w:val="0"/>
                      <w:marBottom w:val="0"/>
                      <w:divBdr>
                        <w:top w:val="none" w:sz="0" w:space="0" w:color="auto"/>
                        <w:left w:val="none" w:sz="0" w:space="0" w:color="auto"/>
                        <w:bottom w:val="none" w:sz="0" w:space="0" w:color="auto"/>
                        <w:right w:val="none" w:sz="0" w:space="0" w:color="auto"/>
                      </w:divBdr>
                      <w:divsChild>
                        <w:div w:id="461845785">
                          <w:marLeft w:val="0"/>
                          <w:marRight w:val="0"/>
                          <w:marTop w:val="0"/>
                          <w:marBottom w:val="0"/>
                          <w:divBdr>
                            <w:top w:val="none" w:sz="0" w:space="0" w:color="auto"/>
                            <w:left w:val="none" w:sz="0" w:space="0" w:color="auto"/>
                            <w:bottom w:val="none" w:sz="0" w:space="0" w:color="auto"/>
                            <w:right w:val="none" w:sz="0" w:space="0" w:color="auto"/>
                          </w:divBdr>
                          <w:divsChild>
                            <w:div w:id="1284732130">
                              <w:marLeft w:val="0"/>
                              <w:marRight w:val="0"/>
                              <w:marTop w:val="0"/>
                              <w:marBottom w:val="0"/>
                              <w:divBdr>
                                <w:top w:val="none" w:sz="0" w:space="0" w:color="auto"/>
                                <w:left w:val="none" w:sz="0" w:space="0" w:color="auto"/>
                                <w:bottom w:val="none" w:sz="0" w:space="0" w:color="auto"/>
                                <w:right w:val="none" w:sz="0" w:space="0" w:color="auto"/>
                              </w:divBdr>
                              <w:divsChild>
                                <w:div w:id="1664501727">
                                  <w:marLeft w:val="0"/>
                                  <w:marRight w:val="0"/>
                                  <w:marTop w:val="0"/>
                                  <w:marBottom w:val="0"/>
                                  <w:divBdr>
                                    <w:top w:val="none" w:sz="0" w:space="0" w:color="auto"/>
                                    <w:left w:val="none" w:sz="0" w:space="0" w:color="auto"/>
                                    <w:bottom w:val="none" w:sz="0" w:space="0" w:color="auto"/>
                                    <w:right w:val="none" w:sz="0" w:space="0" w:color="auto"/>
                                  </w:divBdr>
                                  <w:divsChild>
                                    <w:div w:id="8194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847624">
      <w:bodyDiv w:val="1"/>
      <w:marLeft w:val="0"/>
      <w:marRight w:val="0"/>
      <w:marTop w:val="0"/>
      <w:marBottom w:val="0"/>
      <w:divBdr>
        <w:top w:val="none" w:sz="0" w:space="0" w:color="auto"/>
        <w:left w:val="none" w:sz="0" w:space="0" w:color="auto"/>
        <w:bottom w:val="none" w:sz="0" w:space="0" w:color="auto"/>
        <w:right w:val="none" w:sz="0" w:space="0" w:color="auto"/>
      </w:divBdr>
      <w:divsChild>
        <w:div w:id="1875119508">
          <w:marLeft w:val="0"/>
          <w:marRight w:val="0"/>
          <w:marTop w:val="0"/>
          <w:marBottom w:val="0"/>
          <w:divBdr>
            <w:top w:val="none" w:sz="0" w:space="0" w:color="auto"/>
            <w:left w:val="none" w:sz="0" w:space="0" w:color="auto"/>
            <w:bottom w:val="none" w:sz="0" w:space="0" w:color="auto"/>
            <w:right w:val="none" w:sz="0" w:space="0" w:color="auto"/>
          </w:divBdr>
          <w:divsChild>
            <w:div w:id="2098012175">
              <w:marLeft w:val="0"/>
              <w:marRight w:val="0"/>
              <w:marTop w:val="0"/>
              <w:marBottom w:val="0"/>
              <w:divBdr>
                <w:top w:val="none" w:sz="0" w:space="0" w:color="auto"/>
                <w:left w:val="none" w:sz="0" w:space="0" w:color="auto"/>
                <w:bottom w:val="none" w:sz="0" w:space="0" w:color="auto"/>
                <w:right w:val="none" w:sz="0" w:space="0" w:color="auto"/>
              </w:divBdr>
              <w:divsChild>
                <w:div w:id="231087169">
                  <w:marLeft w:val="0"/>
                  <w:marRight w:val="0"/>
                  <w:marTop w:val="0"/>
                  <w:marBottom w:val="0"/>
                  <w:divBdr>
                    <w:top w:val="none" w:sz="0" w:space="0" w:color="auto"/>
                    <w:left w:val="none" w:sz="0" w:space="0" w:color="auto"/>
                    <w:bottom w:val="none" w:sz="0" w:space="0" w:color="auto"/>
                    <w:right w:val="none" w:sz="0" w:space="0" w:color="auto"/>
                  </w:divBdr>
                  <w:divsChild>
                    <w:div w:id="1596205259">
                      <w:marLeft w:val="0"/>
                      <w:marRight w:val="0"/>
                      <w:marTop w:val="0"/>
                      <w:marBottom w:val="0"/>
                      <w:divBdr>
                        <w:top w:val="none" w:sz="0" w:space="0" w:color="auto"/>
                        <w:left w:val="none" w:sz="0" w:space="0" w:color="auto"/>
                        <w:bottom w:val="none" w:sz="0" w:space="0" w:color="auto"/>
                        <w:right w:val="none" w:sz="0" w:space="0" w:color="auto"/>
                      </w:divBdr>
                      <w:divsChild>
                        <w:div w:id="1864900649">
                          <w:marLeft w:val="0"/>
                          <w:marRight w:val="0"/>
                          <w:marTop w:val="0"/>
                          <w:marBottom w:val="0"/>
                          <w:divBdr>
                            <w:top w:val="none" w:sz="0" w:space="0" w:color="auto"/>
                            <w:left w:val="none" w:sz="0" w:space="0" w:color="auto"/>
                            <w:bottom w:val="none" w:sz="0" w:space="0" w:color="auto"/>
                            <w:right w:val="none" w:sz="0" w:space="0" w:color="auto"/>
                          </w:divBdr>
                          <w:divsChild>
                            <w:div w:id="1244605589">
                              <w:marLeft w:val="0"/>
                              <w:marRight w:val="0"/>
                              <w:marTop w:val="0"/>
                              <w:marBottom w:val="0"/>
                              <w:divBdr>
                                <w:top w:val="none" w:sz="0" w:space="0" w:color="auto"/>
                                <w:left w:val="none" w:sz="0" w:space="0" w:color="auto"/>
                                <w:bottom w:val="none" w:sz="0" w:space="0" w:color="auto"/>
                                <w:right w:val="none" w:sz="0" w:space="0" w:color="auto"/>
                              </w:divBdr>
                              <w:divsChild>
                                <w:div w:id="2097945283">
                                  <w:marLeft w:val="0"/>
                                  <w:marRight w:val="0"/>
                                  <w:marTop w:val="0"/>
                                  <w:marBottom w:val="0"/>
                                  <w:divBdr>
                                    <w:top w:val="none" w:sz="0" w:space="0" w:color="auto"/>
                                    <w:left w:val="none" w:sz="0" w:space="0" w:color="auto"/>
                                    <w:bottom w:val="none" w:sz="0" w:space="0" w:color="auto"/>
                                    <w:right w:val="none" w:sz="0" w:space="0" w:color="auto"/>
                                  </w:divBdr>
                                  <w:divsChild>
                                    <w:div w:id="3459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908682">
      <w:bodyDiv w:val="1"/>
      <w:marLeft w:val="0"/>
      <w:marRight w:val="0"/>
      <w:marTop w:val="0"/>
      <w:marBottom w:val="0"/>
      <w:divBdr>
        <w:top w:val="none" w:sz="0" w:space="0" w:color="auto"/>
        <w:left w:val="none" w:sz="0" w:space="0" w:color="auto"/>
        <w:bottom w:val="none" w:sz="0" w:space="0" w:color="auto"/>
        <w:right w:val="none" w:sz="0" w:space="0" w:color="auto"/>
      </w:divBdr>
      <w:divsChild>
        <w:div w:id="1952318927">
          <w:marLeft w:val="0"/>
          <w:marRight w:val="0"/>
          <w:marTop w:val="0"/>
          <w:marBottom w:val="0"/>
          <w:divBdr>
            <w:top w:val="none" w:sz="0" w:space="0" w:color="auto"/>
            <w:left w:val="none" w:sz="0" w:space="0" w:color="auto"/>
            <w:bottom w:val="none" w:sz="0" w:space="0" w:color="auto"/>
            <w:right w:val="none" w:sz="0" w:space="0" w:color="auto"/>
          </w:divBdr>
          <w:divsChild>
            <w:div w:id="240679150">
              <w:marLeft w:val="0"/>
              <w:marRight w:val="0"/>
              <w:marTop w:val="0"/>
              <w:marBottom w:val="0"/>
              <w:divBdr>
                <w:top w:val="none" w:sz="0" w:space="0" w:color="auto"/>
                <w:left w:val="none" w:sz="0" w:space="0" w:color="auto"/>
                <w:bottom w:val="none" w:sz="0" w:space="0" w:color="auto"/>
                <w:right w:val="none" w:sz="0" w:space="0" w:color="auto"/>
              </w:divBdr>
              <w:divsChild>
                <w:div w:id="1785924289">
                  <w:marLeft w:val="0"/>
                  <w:marRight w:val="0"/>
                  <w:marTop w:val="0"/>
                  <w:marBottom w:val="0"/>
                  <w:divBdr>
                    <w:top w:val="none" w:sz="0" w:space="0" w:color="auto"/>
                    <w:left w:val="none" w:sz="0" w:space="0" w:color="auto"/>
                    <w:bottom w:val="none" w:sz="0" w:space="0" w:color="auto"/>
                    <w:right w:val="none" w:sz="0" w:space="0" w:color="auto"/>
                  </w:divBdr>
                  <w:divsChild>
                    <w:div w:id="160976711">
                      <w:marLeft w:val="0"/>
                      <w:marRight w:val="0"/>
                      <w:marTop w:val="0"/>
                      <w:marBottom w:val="0"/>
                      <w:divBdr>
                        <w:top w:val="none" w:sz="0" w:space="0" w:color="auto"/>
                        <w:left w:val="none" w:sz="0" w:space="0" w:color="auto"/>
                        <w:bottom w:val="none" w:sz="0" w:space="0" w:color="auto"/>
                        <w:right w:val="none" w:sz="0" w:space="0" w:color="auto"/>
                      </w:divBdr>
                      <w:divsChild>
                        <w:div w:id="710960529">
                          <w:marLeft w:val="0"/>
                          <w:marRight w:val="0"/>
                          <w:marTop w:val="0"/>
                          <w:marBottom w:val="0"/>
                          <w:divBdr>
                            <w:top w:val="none" w:sz="0" w:space="0" w:color="auto"/>
                            <w:left w:val="none" w:sz="0" w:space="0" w:color="auto"/>
                            <w:bottom w:val="none" w:sz="0" w:space="0" w:color="auto"/>
                            <w:right w:val="none" w:sz="0" w:space="0" w:color="auto"/>
                          </w:divBdr>
                          <w:divsChild>
                            <w:div w:id="28536167">
                              <w:marLeft w:val="0"/>
                              <w:marRight w:val="0"/>
                              <w:marTop w:val="0"/>
                              <w:marBottom w:val="0"/>
                              <w:divBdr>
                                <w:top w:val="none" w:sz="0" w:space="0" w:color="auto"/>
                                <w:left w:val="none" w:sz="0" w:space="0" w:color="auto"/>
                                <w:bottom w:val="none" w:sz="0" w:space="0" w:color="auto"/>
                                <w:right w:val="none" w:sz="0" w:space="0" w:color="auto"/>
                              </w:divBdr>
                              <w:divsChild>
                                <w:div w:id="296765959">
                                  <w:marLeft w:val="0"/>
                                  <w:marRight w:val="0"/>
                                  <w:marTop w:val="0"/>
                                  <w:marBottom w:val="0"/>
                                  <w:divBdr>
                                    <w:top w:val="none" w:sz="0" w:space="0" w:color="auto"/>
                                    <w:left w:val="none" w:sz="0" w:space="0" w:color="auto"/>
                                    <w:bottom w:val="none" w:sz="0" w:space="0" w:color="auto"/>
                                    <w:right w:val="none" w:sz="0" w:space="0" w:color="auto"/>
                                  </w:divBdr>
                                  <w:divsChild>
                                    <w:div w:id="16403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284878">
      <w:bodyDiv w:val="1"/>
      <w:marLeft w:val="0"/>
      <w:marRight w:val="0"/>
      <w:marTop w:val="0"/>
      <w:marBottom w:val="0"/>
      <w:divBdr>
        <w:top w:val="none" w:sz="0" w:space="0" w:color="auto"/>
        <w:left w:val="none" w:sz="0" w:space="0" w:color="auto"/>
        <w:bottom w:val="none" w:sz="0" w:space="0" w:color="auto"/>
        <w:right w:val="none" w:sz="0" w:space="0" w:color="auto"/>
      </w:divBdr>
      <w:divsChild>
        <w:div w:id="389041631">
          <w:marLeft w:val="0"/>
          <w:marRight w:val="0"/>
          <w:marTop w:val="0"/>
          <w:marBottom w:val="0"/>
          <w:divBdr>
            <w:top w:val="none" w:sz="0" w:space="0" w:color="auto"/>
            <w:left w:val="none" w:sz="0" w:space="0" w:color="auto"/>
            <w:bottom w:val="none" w:sz="0" w:space="0" w:color="auto"/>
            <w:right w:val="none" w:sz="0" w:space="0" w:color="auto"/>
          </w:divBdr>
          <w:divsChild>
            <w:div w:id="49310498">
              <w:marLeft w:val="0"/>
              <w:marRight w:val="0"/>
              <w:marTop w:val="0"/>
              <w:marBottom w:val="0"/>
              <w:divBdr>
                <w:top w:val="none" w:sz="0" w:space="0" w:color="auto"/>
                <w:left w:val="none" w:sz="0" w:space="0" w:color="auto"/>
                <w:bottom w:val="none" w:sz="0" w:space="0" w:color="auto"/>
                <w:right w:val="none" w:sz="0" w:space="0" w:color="auto"/>
              </w:divBdr>
              <w:divsChild>
                <w:div w:id="698968702">
                  <w:marLeft w:val="0"/>
                  <w:marRight w:val="0"/>
                  <w:marTop w:val="0"/>
                  <w:marBottom w:val="0"/>
                  <w:divBdr>
                    <w:top w:val="none" w:sz="0" w:space="0" w:color="auto"/>
                    <w:left w:val="none" w:sz="0" w:space="0" w:color="auto"/>
                    <w:bottom w:val="none" w:sz="0" w:space="0" w:color="auto"/>
                    <w:right w:val="none" w:sz="0" w:space="0" w:color="auto"/>
                  </w:divBdr>
                  <w:divsChild>
                    <w:div w:id="1233390570">
                      <w:marLeft w:val="0"/>
                      <w:marRight w:val="0"/>
                      <w:marTop w:val="0"/>
                      <w:marBottom w:val="0"/>
                      <w:divBdr>
                        <w:top w:val="none" w:sz="0" w:space="0" w:color="auto"/>
                        <w:left w:val="none" w:sz="0" w:space="0" w:color="auto"/>
                        <w:bottom w:val="none" w:sz="0" w:space="0" w:color="auto"/>
                        <w:right w:val="none" w:sz="0" w:space="0" w:color="auto"/>
                      </w:divBdr>
                      <w:divsChild>
                        <w:div w:id="445542503">
                          <w:marLeft w:val="0"/>
                          <w:marRight w:val="0"/>
                          <w:marTop w:val="0"/>
                          <w:marBottom w:val="0"/>
                          <w:divBdr>
                            <w:top w:val="none" w:sz="0" w:space="0" w:color="auto"/>
                            <w:left w:val="none" w:sz="0" w:space="0" w:color="auto"/>
                            <w:bottom w:val="none" w:sz="0" w:space="0" w:color="auto"/>
                            <w:right w:val="none" w:sz="0" w:space="0" w:color="auto"/>
                          </w:divBdr>
                          <w:divsChild>
                            <w:div w:id="125322048">
                              <w:marLeft w:val="0"/>
                              <w:marRight w:val="0"/>
                              <w:marTop w:val="0"/>
                              <w:marBottom w:val="0"/>
                              <w:divBdr>
                                <w:top w:val="none" w:sz="0" w:space="0" w:color="auto"/>
                                <w:left w:val="none" w:sz="0" w:space="0" w:color="auto"/>
                                <w:bottom w:val="none" w:sz="0" w:space="0" w:color="auto"/>
                                <w:right w:val="none" w:sz="0" w:space="0" w:color="auto"/>
                              </w:divBdr>
                              <w:divsChild>
                                <w:div w:id="1622296174">
                                  <w:marLeft w:val="0"/>
                                  <w:marRight w:val="0"/>
                                  <w:marTop w:val="0"/>
                                  <w:marBottom w:val="0"/>
                                  <w:divBdr>
                                    <w:top w:val="none" w:sz="0" w:space="0" w:color="auto"/>
                                    <w:left w:val="none" w:sz="0" w:space="0" w:color="auto"/>
                                    <w:bottom w:val="none" w:sz="0" w:space="0" w:color="auto"/>
                                    <w:right w:val="none" w:sz="0" w:space="0" w:color="auto"/>
                                  </w:divBdr>
                                  <w:divsChild>
                                    <w:div w:id="10124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igis.gov.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33398-7EF2-4B8A-95C6-04FAB13CC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3429EF60</Template>
  <TotalTime>279</TotalTime>
  <Pages>11</Pages>
  <Words>3796</Words>
  <Characters>21640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25386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Munsie, Laura</dc:creator>
  <cp:lastModifiedBy>Bryan, Neville</cp:lastModifiedBy>
  <cp:revision>25</cp:revision>
  <cp:lastPrinted>2016-02-18T00:52:00Z</cp:lastPrinted>
  <dcterms:created xsi:type="dcterms:W3CDTF">2016-02-16T23:27:00Z</dcterms:created>
  <dcterms:modified xsi:type="dcterms:W3CDTF">2016-03-16T02:27:00Z</dcterms:modified>
</cp:coreProperties>
</file>